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Tarjousagentti</w:t>
      </w:r>
    </w:p>
    <w:p>
      <w:pPr>
        <w:pStyle w:val="BodyText"/>
      </w:pPr>
      <w:r>
        <w:rPr>
          <w:i/>
          <w:iCs/>
          <w:sz w:val="24"/>
          <w:szCs w:val="24"/>
        </w:rPr>
        <w:t xml:space="preserve">Tuotekuvaus</w:t>
      </w:r>
    </w:p>
    <w:p>
      <w:pPr>
        <w:pStyle w:val="Heading1"/>
      </w:pPr>
      <w:r>
        <w:t xml:space="preserve">1. Tiivistelmä</w:t>
      </w:r>
    </w:p>
    <w:p>
      <w:pPr>
        <w:pStyle w:val="BodyText"/>
      </w:pPr>
      <w:r>
        <w:t xml:space="preserve">Tarjousagentti on tekoälypohjainen järjestelmä, joka automatisoi myyntitarjousten luomisen saapuvista sähköpostipyynnöistä. Toisin kuin perinteiset automaatiotyökalut, jotka toimivat ilman valvontaa, Tarjousagentti yhdistää itsenäisen tekoälykäsittelyn pakolliseen ihmisen tarkistukseen—varmistaen, ettei yksikään tarjous tai myyntitilaus siirry ERP-järjestelmään ilman myyntitiimin nimenomaista hyväksyntää.</w:t>
      </w:r>
    </w:p>
    <w:p>
      <w:pPr>
        <w:pStyle w:val="BodyText"/>
      </w:pPr>
      <w:r>
        <w:t xml:space="preserve">Järjestelmä seuraa myyntisähköpostilaatikkoa, analysoi saapuvat tarjouspyynnöt, poimii tuotevaatimukset sähköposteista ja liitteistä, yhdistää ne tuotekatalogiin ja luo valmiit tarjousluonnokset. Myyjät tarkastavat, muokkaavat tarvittaessa ja hyväksyvät tarjoukset intuitiivisen verkkoportaalin kautta ennen niiden tallentamista ERP-järjestelmään.</w:t>
      </w:r>
    </w:p>
    <w:p>
      <w:pPr>
        <w:pStyle w:val="BodyText"/>
      </w:pPr>
      <w:r>
        <w:t xml:space="preserve">Tarjousagentin käyttöönottavat organisaatiot voivat odottaa merkittävää ajansäästöä rutiininomaisessa tarjousten luomisessa, vähemmän virheitä tuotteiden yhdistämisessä sekä kykyä käsitellä suurempia tarjouspyyntömääriä ilman henkilöstön lisäämistä.</w:t>
      </w:r>
    </w:p>
    <w:p>
      <w:pPr>
        <w:pStyle w:val="Heading1"/>
      </w:pPr>
      <w:r>
        <w:t xml:space="preserve">2. Tuotekuvaus</w:t>
      </w:r>
    </w:p>
    <w:p>
      <w:pPr>
        <w:pStyle w:val="Heading2"/>
      </w:pPr>
      <w:r>
        <w:t xml:space="preserve">2.1 Järjestelmän osat</w:t>
      </w:r>
    </w:p>
    <w:p>
      <w:pPr>
        <w:pStyle w:val="BodyText"/>
      </w:pPr>
      <w:r>
        <w:t xml:space="preserve">Tarjousagentti koostuu kahdesta integroidusta komponentista:</w:t>
      </w:r>
    </w:p>
    <w:p>
      <w:pPr>
        <w:pStyle w:val="BodyText"/>
      </w:pPr>
      <w:r>
        <w:rPr>
          <w:b/>
          <w:bCs/>
        </w:rPr>
        <w:t xml:space="preserve">Tekoälyagentti: </w:t>
      </w:r>
      <w:r>
        <w:t xml:space="preserve">Seuraa jatkuvasti sähköpostilaatikkoa saapuvien tarjouspyyntöjen varalta. Kun pyyntö saapuu, agentti analysoi sähköpostin sisällön ja mahdolliset liitteet (PDF, Excel), tunnistaa asiakkaan, poimii pyydetyt tuotteet ja määrät, yhdistää ne tuotekatalogiin ja luo valmiin tarjousluonnoksen hinnoitteluineen.</w:t>
      </w:r>
    </w:p>
    <w:p>
      <w:pPr>
        <w:pStyle w:val="BodyText"/>
      </w:pPr>
      <w:r>
        <w:rPr>
          <w:b/>
          <w:bCs/>
        </w:rPr>
        <w:t xml:space="preserve">Väliportaali: </w:t>
      </w:r>
      <w:r>
        <w:t xml:space="preserve">DataFigured tarjoaa pääsyn selainpohjaiseen väliportaaliin, jossa myyjät tarkastavat tekoälyn luomat tarjoukset ennen hyväksyntää. Portaali näyttää täydellisen tarjouksen tekoälyn perusteluineen ja luottamusarvoineen kullekin tuoteriville, mahdollistaen informoidun tarkistuksen ja nopeat korjaukset tarvittaessa.</w:t>
      </w:r>
    </w:p>
    <w:p>
      <w:pPr>
        <w:pStyle w:val="Heading2"/>
      </w:pPr>
      <w:r>
        <w:t xml:space="preserve">2.2 Toimintaperiaate</w:t>
      </w:r>
    </w:p>
    <w:p>
      <w:pPr>
        <w:pStyle w:val="ListParagraph"/>
        <w:numPr>
          <w:ilvl w:val="0"/>
          <w:numId w:val="2"/>
        </w:numPr>
      </w:pPr>
      <w:r>
        <w:t xml:space="preserve">Asiakas lähettää tarjouspyynnön sähköpostitse (mahdollisine PDF/Excel-liitteineen)</w:t>
      </w:r>
    </w:p>
    <w:p>
      <w:pPr>
        <w:pStyle w:val="ListParagraph"/>
        <w:numPr>
          <w:ilvl w:val="0"/>
          <w:numId w:val="2"/>
        </w:numPr>
      </w:pPr>
      <w:r>
        <w:t xml:space="preserve">Tekoälyagentti havaitsee ja analysoi pyynnön automaattisesti</w:t>
      </w:r>
    </w:p>
    <w:p>
      <w:pPr>
        <w:pStyle w:val="ListParagraph"/>
        <w:numPr>
          <w:ilvl w:val="0"/>
          <w:numId w:val="2"/>
        </w:numPr>
      </w:pPr>
      <w:r>
        <w:t xml:space="preserve">Agentti yhdistää tuotteet, tunnistaa asiakkaan, laskee määrät ja hinnoittelun</w:t>
      </w:r>
    </w:p>
    <w:p>
      <w:pPr>
        <w:pStyle w:val="ListParagraph"/>
        <w:numPr>
          <w:ilvl w:val="0"/>
          <w:numId w:val="2"/>
        </w:numPr>
      </w:pPr>
      <w:r>
        <w:t xml:space="preserve">Tarjousluonnos luodaan ja myyjälle lähetetään ilmoitus</w:t>
      </w:r>
    </w:p>
    <w:p>
      <w:pPr>
        <w:pStyle w:val="ListParagraph"/>
        <w:numPr>
          <w:ilvl w:val="0"/>
          <w:numId w:val="2"/>
        </w:numPr>
      </w:pPr>
      <w:r>
        <w:t xml:space="preserve">Myyjä tarkastaa tarjouksen väliportaalissa</w:t>
      </w:r>
    </w:p>
    <w:p>
      <w:pPr>
        <w:pStyle w:val="ListParagraph"/>
        <w:numPr>
          <w:ilvl w:val="0"/>
          <w:numId w:val="2"/>
        </w:numPr>
      </w:pPr>
      <w:r>
        <w:t xml:space="preserve">Tarkistuksen ja mahdollisten muokkausten jälkeen myyjä hyväksyy tarjouksen</w:t>
      </w:r>
    </w:p>
    <w:p>
      <w:pPr>
        <w:pStyle w:val="ListParagraph"/>
        <w:numPr>
          <w:ilvl w:val="0"/>
          <w:numId w:val="2"/>
        </w:numPr>
      </w:pPr>
      <w:r>
        <w:t xml:space="preserve">Hyväksytty tarjous tallentuu automaattisesti ERP-järjestelmään</w:t>
      </w:r>
    </w:p>
    <w:p>
      <w:pPr>
        <w:pStyle w:val="Heading1"/>
      </w:pPr>
      <w:r>
        <w:t xml:space="preserve">3. Keskeiset ominaisuudet</w:t>
      </w:r>
    </w:p>
    <w:p>
      <w:pPr>
        <w:pStyle w:val="Heading3"/>
      </w:pPr>
      <w:r>
        <w:t xml:space="preserve">Tekoälyagentin ominaisuudet</w:t>
      </w:r>
    </w:p>
    <w:p>
      <w:pPr>
        <w:pStyle w:val="ListParagraph"/>
        <w:numPr>
          <w:ilvl w:val="0"/>
          <w:numId w:val="3"/>
        </w:numPr>
      </w:pPr>
      <w:r>
        <w:rPr>
          <w:b/>
          <w:bCs/>
        </w:rPr>
        <w:t xml:space="preserve">Automaattinen sähköpostiseuranta: </w:t>
      </w:r>
      <w:r>
        <w:t xml:space="preserve">Jatkuva postilaatikon seuranta domain-validoidulla lähettäjien varmistuksella</w:t>
      </w:r>
    </w:p>
    <w:p>
      <w:pPr>
        <w:pStyle w:val="ListParagraph"/>
        <w:numPr>
          <w:ilvl w:val="0"/>
          <w:numId w:val="3"/>
        </w:numPr>
      </w:pPr>
      <w:r>
        <w:rPr>
          <w:b/>
          <w:bCs/>
        </w:rPr>
        <w:t xml:space="preserve">Älykäs tuoteyhdistäminen: </w:t>
      </w:r>
      <w:r>
        <w:t xml:space="preserve">Semanttinen haku yhdistettynä tekoälypohjaiseen tunnistukseen oikeiden tuotteiden löytämiseksi</w:t>
      </w:r>
    </w:p>
    <w:p>
      <w:pPr>
        <w:pStyle w:val="ListParagraph"/>
        <w:numPr>
          <w:ilvl w:val="0"/>
          <w:numId w:val="3"/>
        </w:numPr>
      </w:pPr>
      <w:r>
        <w:rPr>
          <w:b/>
          <w:bCs/>
        </w:rPr>
        <w:t xml:space="preserve">Dokumenttien käsittely: </w:t>
      </w:r>
      <w:r>
        <w:t xml:space="preserve">Poimii tuotetiedot PDF- ja Excel-liitteistä, mukaan lukien OCR-tekstintunnistus</w:t>
      </w:r>
    </w:p>
    <w:p>
      <w:pPr>
        <w:pStyle w:val="ListParagraph"/>
        <w:numPr>
          <w:ilvl w:val="0"/>
          <w:numId w:val="3"/>
        </w:numPr>
      </w:pPr>
      <w:r>
        <w:rPr>
          <w:b/>
          <w:bCs/>
        </w:rPr>
        <w:t xml:space="preserve">Asiakkaan tunnistus: </w:t>
      </w:r>
      <w:r>
        <w:t xml:space="preserve">Tunnistaa asiakkaat automaattisesti sähköpostiosoitteista ja dokumenttien sisällöstä</w:t>
      </w:r>
    </w:p>
    <w:p>
      <w:pPr>
        <w:pStyle w:val="ListParagraph"/>
        <w:numPr>
          <w:ilvl w:val="0"/>
          <w:numId w:val="3"/>
        </w:numPr>
      </w:pPr>
      <w:r>
        <w:rPr>
          <w:b/>
          <w:bCs/>
        </w:rPr>
        <w:t xml:space="preserve">Luottamusarviointi: </w:t>
      </w:r>
      <w:r>
        <w:t xml:space="preserve">Jokainen tuoteyhdistys sisältää luottamusarvon, joka kertoo yhdistyksen luotettavuuden</w:t>
      </w:r>
    </w:p>
    <w:p>
      <w:pPr>
        <w:pStyle w:val="Heading3"/>
      </w:pPr>
      <w:r>
        <w:t xml:space="preserve">Väliportaalin ominaisuudet</w:t>
      </w:r>
    </w:p>
    <w:p>
      <w:pPr>
        <w:pStyle w:val="ListParagraph"/>
        <w:numPr>
          <w:ilvl w:val="0"/>
          <w:numId w:val="4"/>
        </w:numPr>
      </w:pPr>
      <w:r>
        <w:rPr>
          <w:b/>
          <w:bCs/>
        </w:rPr>
        <w:t xml:space="preserve">Turvallinen kirjautuminen: </w:t>
      </w:r>
      <w:r>
        <w:t xml:space="preserve">Microsoft OAuth -tunnistautuminen olemassa olevilla työsähköposteilla</w:t>
      </w:r>
    </w:p>
    <w:p>
      <w:pPr>
        <w:pStyle w:val="ListParagraph"/>
        <w:numPr>
          <w:ilvl w:val="0"/>
          <w:numId w:val="4"/>
        </w:numPr>
      </w:pPr>
      <w:r>
        <w:rPr>
          <w:b/>
          <w:bCs/>
        </w:rPr>
        <w:t xml:space="preserve">Kattava tarkastelu: </w:t>
      </w:r>
      <w:r>
        <w:t xml:space="preserve">Näytä tarjouksen kaikki tiedot mukaan lukien tekoälyn perustelut ja luottamusarvot rivikohtaisesti</w:t>
      </w:r>
    </w:p>
    <w:p>
      <w:pPr>
        <w:pStyle w:val="ListParagraph"/>
        <w:numPr>
          <w:ilvl w:val="0"/>
          <w:numId w:val="4"/>
        </w:numPr>
      </w:pPr>
      <w:r>
        <w:rPr>
          <w:b/>
          <w:bCs/>
        </w:rPr>
        <w:t xml:space="preserve">Täysi muokkaus: </w:t>
      </w:r>
      <w:r>
        <w:t xml:space="preserve">Lisää, muokkaa tai poista tarjousrivejä; säädä määriä, hintoja ja muita kenttiä</w:t>
      </w:r>
    </w:p>
    <w:p>
      <w:pPr>
        <w:pStyle w:val="ListParagraph"/>
        <w:numPr>
          <w:ilvl w:val="0"/>
          <w:numId w:val="4"/>
        </w:numPr>
      </w:pPr>
      <w:r>
        <w:rPr>
          <w:b/>
          <w:bCs/>
        </w:rPr>
        <w:t xml:space="preserve">Yhdellä klikkauksella: </w:t>
      </w:r>
      <w:r>
        <w:t xml:space="preserve">Hyväksy tarjous ERPiin tai hylkää yhdellä painalluksella</w:t>
      </w:r>
    </w:p>
    <w:p>
      <w:pPr>
        <w:pStyle w:val="ListParagraph"/>
        <w:numPr>
          <w:ilvl w:val="0"/>
          <w:numId w:val="4"/>
        </w:numPr>
      </w:pPr>
      <w:r>
        <w:rPr>
          <w:b/>
          <w:bCs/>
        </w:rPr>
        <w:t xml:space="preserve">Jatkuva oppiminen: </w:t>
      </w:r>
      <w:r>
        <w:t xml:space="preserve">Portaalissa tehdyt korjaukset kouluttavat agenttia välttämään vastaavia virheitä</w:t>
      </w:r>
    </w:p>
    <w:p>
      <w:pPr>
        <w:pStyle w:val="Heading1"/>
      </w:pPr>
      <w:r>
        <w:t xml:space="preserve">4. Hyödyt ja liiketoiminta-arvo</w:t>
      </w:r>
    </w:p>
    <w:p>
      <w:pPr>
        <w:pStyle w:val="BodyText"/>
      </w:pPr>
      <w:r>
        <w:rPr>
          <w:b/>
          <w:bCs/>
        </w:rPr>
        <w:t xml:space="preserve">Ajansäästö: </w:t>
      </w:r>
      <w:r>
        <w:t xml:space="preserve">Vähennä merkittävästi tarjousten manuaaliseen luomiseen käytettyä aikaa. Agentti hoitaa rutiinityön: sähköpostien lukemisen, tuotteiden etsimisen ja tarjousten rakentamisen.</w:t>
      </w:r>
    </w:p>
    <w:p>
      <w:pPr>
        <w:pStyle w:val="BodyText"/>
      </w:pPr>
      <w:r>
        <w:rPr>
          <w:b/>
          <w:bCs/>
        </w:rPr>
        <w:t xml:space="preserve">Parantunut tarkkuus: </w:t>
      </w:r>
      <w:r>
        <w:t xml:space="preserve">Tekoälypohjainen tuoteyhdistäminen vähentää manuaalisen haun virheitä. Luottamusarvot korostavat epävarmoja yhdistyksiä kohdennettua ihmistarkistusta varten.</w:t>
      </w:r>
    </w:p>
    <w:p>
      <w:pPr>
        <w:pStyle w:val="BodyText"/>
      </w:pPr>
      <w:r>
        <w:rPr>
          <w:b/>
          <w:bCs/>
        </w:rPr>
        <w:t xml:space="preserve">Säilytetty kontrolli: </w:t>
      </w:r>
      <w:r>
        <w:t xml:space="preserve">Jokainen tarjous kulkee ihmisen tarkistuksen kautta ennen ERP-järjestelmään siirtymistä. Myyjät säilyttävät täyden hallinnan hyväksyttävistä tarjouksista.</w:t>
      </w:r>
    </w:p>
    <w:p>
      <w:pPr>
        <w:pStyle w:val="BodyText"/>
      </w:pPr>
      <w:r>
        <w:rPr>
          <w:b/>
          <w:bCs/>
        </w:rPr>
        <w:t xml:space="preserve">Jatkuva kehittyminen: </w:t>
      </w:r>
      <w:r>
        <w:t xml:space="preserve">Agentti oppii jokaisesta väliportaalissa tehdystä korjauksesta, parantaen tarkkuuttaan ajan myötä tiimisi asiantuntemuksen perusteella.</w:t>
      </w:r>
    </w:p>
    <w:p>
      <w:pPr>
        <w:pStyle w:val="BodyText"/>
      </w:pPr>
      <w:r>
        <w:rPr>
          <w:b/>
          <w:bCs/>
        </w:rPr>
        <w:t xml:space="preserve">Skaalautuva kapasiteetti: </w:t>
      </w:r>
      <w:r>
        <w:t xml:space="preserve">Käsittele kasvaneet tarjouspyyntömäärät ilman suhteellista henkilöstön lisäämistä. Agentti käsittelee pyyntöjä ympäri vuorokauden.</w:t>
      </w:r>
    </w:p>
    <w:p>
      <w:pPr>
        <w:pStyle w:val="Heading1"/>
      </w:pPr>
      <w:r>
        <w:t xml:space="preserve">5. Integraatio ja käyttöönotto</w:t>
      </w:r>
    </w:p>
    <w:p>
      <w:pPr>
        <w:pStyle w:val="BodyText"/>
      </w:pPr>
      <w:r>
        <w:rPr>
          <w:b/>
          <w:bCs/>
        </w:rPr>
        <w:t xml:space="preserve">Pilvipohjainen arkkitehtuuri: </w:t>
      </w:r>
      <w:r>
        <w:t xml:space="preserve">Isännöity AWS-infrastruktuurissa Euroopan unionin alueella, taaten korkean saatavuuden ja tietojen sijaintivaatimusten täyttymisen.</w:t>
      </w:r>
    </w:p>
    <w:p>
      <w:pPr>
        <w:pStyle w:val="BodyText"/>
      </w:pPr>
      <w:r>
        <w:rPr>
          <w:b/>
          <w:bCs/>
        </w:rPr>
        <w:t xml:space="preserve">ERP-integraatio: </w:t>
      </w:r>
      <w:r>
        <w:t xml:space="preserve">Yhdistyy turvallisesti olemassa olevaan ERP-järjestelmään API:n kautta täydellisellä kenttien yhdistämisellä järjestelmän rakenteeseen.</w:t>
      </w:r>
    </w:p>
    <w:p>
      <w:pPr>
        <w:pStyle w:val="BodyText"/>
      </w:pPr>
      <w:r>
        <w:rPr>
          <w:b/>
          <w:bCs/>
        </w:rPr>
        <w:t xml:space="preserve">Sähköposti-integraatio: </w:t>
      </w:r>
      <w:r>
        <w:t xml:space="preserve">Tukee Microsoft Outlookia ja Gmailia palvelutilitunnistautumisella turvallista, automatisoitua pääsyä varten.</w:t>
      </w:r>
    </w:p>
    <w:p>
      <w:pPr>
        <w:pStyle w:val="BodyText"/>
        <w:spacing w:after="60"/>
      </w:pPr>
      <w:r>
        <w:rPr>
          <w:b/>
          <w:bCs/>
        </w:rPr>
        <w:t xml:space="preserve">Käyttöönottoprosessi:</w:t>
      </w:r>
    </w:p>
    <w:p>
      <w:pPr>
        <w:pStyle w:val="ListParagraph"/>
        <w:numPr>
          <w:ilvl w:val="0"/>
          <w:numId w:val="5"/>
        </w:numPr>
      </w:pPr>
      <w:r>
        <w:t xml:space="preserve">Alkukonfigurointi ja ERP API -asennus</w:t>
      </w:r>
    </w:p>
    <w:p>
      <w:pPr>
        <w:pStyle w:val="ListParagraph"/>
        <w:numPr>
          <w:ilvl w:val="0"/>
          <w:numId w:val="5"/>
        </w:numPr>
      </w:pPr>
      <w:r>
        <w:t xml:space="preserve">Tuotekatalogin integrointi ja koulutusdatan keräys</w:t>
      </w:r>
    </w:p>
    <w:p>
      <w:pPr>
        <w:pStyle w:val="ListParagraph"/>
        <w:numPr>
          <w:ilvl w:val="0"/>
          <w:numId w:val="5"/>
        </w:numPr>
      </w:pPr>
      <w:r>
        <w:t xml:space="preserve">Agentin koulutus historiallisella tarjousdatalla</w:t>
      </w:r>
    </w:p>
    <w:p>
      <w:pPr>
        <w:pStyle w:val="ListParagraph"/>
        <w:numPr>
          <w:ilvl w:val="0"/>
          <w:numId w:val="5"/>
        </w:numPr>
      </w:pPr>
      <w:r>
        <w:t xml:space="preserve">Laadunvarmistus testitarjouksilla</w:t>
      </w:r>
    </w:p>
    <w:p>
      <w:pPr>
        <w:pStyle w:val="ListParagraph"/>
        <w:numPr>
          <w:ilvl w:val="0"/>
          <w:numId w:val="5"/>
        </w:numPr>
      </w:pPr>
      <w:r>
        <w:t xml:space="preserve">Myyntitiimin koulutus ja käynnistys</w:t>
      </w:r>
    </w:p>
    <w:p>
      <w:pPr>
        <w:pStyle w:val="ListParagraph"/>
        <w:numPr>
          <w:ilvl w:val="0"/>
          <w:numId w:val="5"/>
        </w:numPr>
      </w:pPr>
      <w:r>
        <w:t xml:space="preserve">Jatkuva optimointi ja tuki</w:t>
      </w:r>
    </w:p>
    <w:p>
      <w:pPr>
        <w:pStyle w:val="Heading1"/>
      </w:pPr>
      <w:r>
        <w:t xml:space="preserve">6. Tietoturva ja vaatimustenmukaisuus</w:t>
      </w:r>
    </w:p>
    <w:p>
      <w:pPr>
        <w:pStyle w:val="BodyText"/>
      </w:pPr>
      <w:r>
        <w:t xml:space="preserve">Tarjousagentti toteuttaa yritystason tietoturvatoimenpiteet: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000"/>
      </w:tblGrid>
      <w:tr>
        <w:trPr>
          <w:tblHeader/>
        </w:trPr>
        <w:tc>
          <w:tcPr>
            <w:tcW w:type="dxa" w:w="2700"/>
            <w:tcBorders>
              <w:top w:val="single" w:color="CCCCCC" w:sz="1"/>
              <w:left w:val="single" w:color="CCCCCC" w:sz="1"/>
              <w:bottom w:val="single" w:color="CCCCCC" w:sz="1"/>
              <w:right w:val="single" w:color="CCCCCC" w:sz="1"/>
            </w:tcBorders>
            <w:shd w:fill="E8E8E8" w:val="clear"/>
            <w:vAlign w:val="center"/>
          </w:tcPr>
          <w:p>
            <w:r>
              <w:rPr>
                <w:b/>
                <w:bCs/>
                <w:sz w:val="20"/>
                <w:szCs w:val="20"/>
              </w:rPr>
              <w:t xml:space="preserve">Tietoturva-alue</w:t>
            </w:r>
          </w:p>
        </w:tc>
        <w:tc>
          <w:tcPr>
            <w:tcW w:type="dxa" w:w="6000"/>
            <w:tcBorders>
              <w:top w:val="single" w:color="CCCCCC" w:sz="1"/>
              <w:left w:val="single" w:color="CCCCCC" w:sz="1"/>
              <w:bottom w:val="single" w:color="CCCCCC" w:sz="1"/>
              <w:right w:val="single" w:color="CCCCCC" w:sz="1"/>
            </w:tcBorders>
            <w:shd w:fill="E8E8E8" w:val="clear"/>
            <w:vAlign w:val="center"/>
          </w:tcPr>
          <w:p>
            <w:r>
              <w:rPr>
                <w:b/>
                <w:bCs/>
                <w:sz w:val="20"/>
                <w:szCs w:val="20"/>
              </w:rPr>
              <w:t xml:space="preserve">Toteutus</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Datan sijainti</w:t>
            </w:r>
          </w:p>
        </w:tc>
        <w:tc>
          <w:tcPr>
            <w:tcW w:type="dxa" w:w="6000"/>
            <w:tcBorders>
              <w:top w:val="single" w:color="CCCCCC" w:sz="1"/>
              <w:left w:val="single" w:color="CCCCCC" w:sz="1"/>
              <w:bottom w:val="single" w:color="CCCCCC" w:sz="1"/>
              <w:right w:val="single" w:color="CCCCCC" w:sz="1"/>
            </w:tcBorders>
          </w:tcPr>
          <w:p>
            <w:r>
              <w:rPr>
                <w:sz w:val="20"/>
                <w:szCs w:val="20"/>
              </w:rPr>
              <w:t xml:space="preserve">Kaikki infrastruktuuri AWS EU:ssa (Frankfurt). Lepotilassa oleva data pysyy EU:n alueella.</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Salaus</w:t>
            </w:r>
          </w:p>
        </w:tc>
        <w:tc>
          <w:tcPr>
            <w:tcW w:type="dxa" w:w="6000"/>
            <w:tcBorders>
              <w:top w:val="single" w:color="CCCCCC" w:sz="1"/>
              <w:left w:val="single" w:color="CCCCCC" w:sz="1"/>
              <w:bottom w:val="single" w:color="CCCCCC" w:sz="1"/>
              <w:right w:val="single" w:color="CCCCCC" w:sz="1"/>
            </w:tcBorders>
          </w:tcPr>
          <w:p>
            <w:r>
              <w:rPr>
                <w:sz w:val="20"/>
                <w:szCs w:val="20"/>
              </w:rPr>
              <w:t xml:space="preserve">TLS 1.2+ kaikelle siirrettävälle datalle. AES-256-salaus tallennetulle datalle.</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Tunnistautuminen</w:t>
            </w:r>
          </w:p>
        </w:tc>
        <w:tc>
          <w:tcPr>
            <w:tcW w:type="dxa" w:w="6000"/>
            <w:tcBorders>
              <w:top w:val="single" w:color="CCCCCC" w:sz="1"/>
              <w:left w:val="single" w:color="CCCCCC" w:sz="1"/>
              <w:bottom w:val="single" w:color="CCCCCC" w:sz="1"/>
              <w:right w:val="single" w:color="CCCCCC" w:sz="1"/>
            </w:tcBorders>
          </w:tcPr>
          <w:p>
            <w:r>
              <w:rPr>
                <w:sz w:val="20"/>
                <w:szCs w:val="20"/>
              </w:rPr>
              <w:t xml:space="preserve">Microsoft OAuth portaaliin. Domain-validointi sähköpostilähettäjille.</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Pääsynhallinta</w:t>
            </w:r>
          </w:p>
        </w:tc>
        <w:tc>
          <w:tcPr>
            <w:tcW w:type="dxa" w:w="6000"/>
            <w:tcBorders>
              <w:top w:val="single" w:color="CCCCCC" w:sz="1"/>
              <w:left w:val="single" w:color="CCCCCC" w:sz="1"/>
              <w:bottom w:val="single" w:color="CCCCCC" w:sz="1"/>
              <w:right w:val="single" w:color="CCCCCC" w:sz="1"/>
            </w:tcBorders>
          </w:tcPr>
          <w:p>
            <w:r>
              <w:rPr>
                <w:sz w:val="20"/>
                <w:szCs w:val="20"/>
              </w:rPr>
              <w:t xml:space="preserve">Roolipohjaiset käyttöoikeudet täydellisellä audit-lokilla kaikista toiminnoista.</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Vaatimustenmukaisuus</w:t>
            </w:r>
          </w:p>
        </w:tc>
        <w:tc>
          <w:tcPr>
            <w:tcW w:type="dxa" w:w="6000"/>
            <w:tcBorders>
              <w:top w:val="single" w:color="CCCCCC" w:sz="1"/>
              <w:left w:val="single" w:color="CCCCCC" w:sz="1"/>
              <w:bottom w:val="single" w:color="CCCCCC" w:sz="1"/>
              <w:right w:val="single" w:color="CCCCCC" w:sz="1"/>
            </w:tcBorders>
          </w:tcPr>
          <w:p>
            <w:r>
              <w:rPr>
                <w:sz w:val="20"/>
                <w:szCs w:val="20"/>
              </w:rPr>
              <w:t xml:space="preserve">GDPR-yhteensopiva EU-datan sijainnilla. Vakiosopimuslausekkeet (SCC) kansainvälisiin siirtoihin.</w:t>
            </w:r>
          </w:p>
        </w:tc>
      </w:tr>
    </w:tbl>
    <w:p>
      <w:pPr>
        <w:pStyle w:val="Heading3"/>
        <w:spacing w:before="200"/>
      </w:pPr>
      <w:r>
        <w:t xml:space="preserve">Tekoälykäsittely ja yksityisyys</w:t>
      </w:r>
    </w:p>
    <w:p>
      <w:pPr>
        <w:pStyle w:val="ListParagraph"/>
        <w:numPr>
          <w:ilvl w:val="0"/>
          <w:numId w:val="6"/>
        </w:numPr>
      </w:pPr>
      <w:r>
        <w:t xml:space="preserve">Zero Data Retention (ZDR) tekoälypalveluntarjoajilla—dataa ei tallenneta eikä käytetä mallien koulutukseen</w:t>
      </w:r>
    </w:p>
    <w:p>
      <w:pPr>
        <w:pStyle w:val="ListParagraph"/>
        <w:numPr>
          <w:ilvl w:val="0"/>
          <w:numId w:val="6"/>
        </w:numPr>
      </w:pPr>
      <w:r>
        <w:t xml:space="preserve">Sähköpostien sisältöä käsitellään mutta ei tallenneta pysyvästi</w:t>
      </w:r>
    </w:p>
    <w:p>
      <w:pPr>
        <w:pStyle w:val="ListParagraph"/>
        <w:numPr>
          <w:ilvl w:val="0"/>
          <w:numId w:val="6"/>
        </w:numPr>
      </w:pPr>
      <w:r>
        <w:t xml:space="preserve">Koulutusdata säilytetään yksinomaan EU:n alueella sijaitsevilla palvelimilla</w:t>
      </w:r>
    </w:p>
    <w:p>
      <w:pPr>
        <w:pStyle w:val="ListParagraph"/>
        <w:numPr>
          <w:ilvl w:val="0"/>
          <w:numId w:val="6"/>
        </w:numPr>
      </w:pPr>
      <w:r>
        <w:t xml:space="preserve">Tietojenkäsittelysopimukset (DPA) kaikkien alihankkijoiden kanssa</w:t>
      </w:r>
    </w:p>
    <w:p>
      <w:pPr>
        <w:pStyle w:val="BodyText"/>
        <w:spacing w:before="160"/>
      </w:pPr>
      <w:r>
        <w:rPr>
          <w:b/>
          <w:bCs/>
        </w:rPr>
        <w:t xml:space="preserve">Sisäänrakennettu yksityisyys: </w:t>
      </w:r>
      <w:r>
        <w:t xml:space="preserve">Järjestelmä toimii läpinäkyvästi ja ihmisen hyväksyntä vaaditaan kaikkiin ERP-siirtoihin. Täydellinen datan siirrettävyys ja poisto saatavilla pyynnöstä.</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666666"/>
        <w:sz w:val="18"/>
        <w:szCs w:val="18"/>
      </w:rPr>
      <w:t xml:space="preserve">DataFigured Oy | info@erp-agent.com | www.erp-agent.com</w:t>
    </w:r>
    <w:r>
      <w:rPr>
        <w:color w:val="666666"/>
        <w:sz w:val="18"/>
        <w:szCs w:val="18"/>
      </w:rPr>
      <w:t xml:space="preserve">  •  Sivu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LIITE 2 – TUOTEKUVAUS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000000"/>
      <w:sz w:val="36"/>
      <w:szCs w:val="36"/>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80"/>
      <w:outlineLvl w:val="1"/>
    </w:pPr>
    <w:rPr>
      <w:rFonts w:ascii="Arial" w:cs="Arial" w:eastAsia="Arial" w:hAnsi="Arial"/>
      <w:b/>
      <w:bCs/>
      <w:color w:val="333333"/>
      <w:sz w:val="24"/>
      <w:szCs w:val="24"/>
    </w:rPr>
  </w:style>
  <w:style w:type="paragraph" w:styleId="Heading3">
    <w:name w:val="Heading 3"/>
    <w:basedOn w:val="Normal"/>
    <w:next w:val="Normal"/>
    <w:qFormat/>
    <w:pPr>
      <w:spacing w:before="160" w:after="60"/>
      <w:outlineLvl w:val="2"/>
    </w:pPr>
    <w:rPr>
      <w:rFonts w:ascii="Arial" w:cs="Arial" w:eastAsia="Arial" w:hAnsi="Arial"/>
      <w:b/>
      <w:bCs/>
      <w:color w:val="333333"/>
      <w:sz w:val="22"/>
      <w:szCs w:val="22"/>
    </w:rPr>
  </w:style>
  <w:style w:type="paragraph" w:styleId="BodyText">
    <w:name w:val="Body Text"/>
    <w:basedOn w:val="Normal"/>
    <w:pPr>
      <w:spacing w:after="120" w:line="276"/>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2025-12-20T10:02:22.007Z</dcterms:created>
  <dcterms:modified xsi:type="dcterms:W3CDTF">2025-12-20T10:02:22.008Z</dcterms:modified>
</cp:coreProperties>
</file>

<file path=docProps/custom.xml><?xml version="1.0" encoding="utf-8"?>
<Properties xmlns="http://schemas.openxmlformats.org/officeDocument/2006/custom-properties" xmlns:vt="http://schemas.openxmlformats.org/officeDocument/2006/docPropsVTypes"/>
</file>