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#PEN20250001 XXE in Test Shop</w:t>
      </w:r>
    </w:p>
    <w:p>
      <w:r>
        <w:t>CVSS:3.1/AV:N/AC:L/PR:N/UI:N/S:U/C:H/I:H/A:N</w:t>
        <w:tab/>
        <w:t>Critical (9.1)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Test Shop</w:t>
            </w:r>
          </w:p>
        </w:tc>
      </w:tr>
      <w:tr>
        <w:tc>
          <w:tcPr>
            <w:tcW w:type="dxa" w:w="4320"/>
          </w:tcPr>
          <w:p>
            <w:r>
              <w:t>CWE</w:t>
            </w:r>
          </w:p>
        </w:tc>
        <w:tc>
          <w:tcPr>
            <w:tcW w:type="dxa" w:w="4320"/>
          </w:tcPr>
          <w:p>
            <w:r>
              <w:t>CWE-CWE-611 (https://cwe.mitre.org/data/definitions/611.html)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Critical (9.1)</w:t>
            </w:r>
          </w:p>
        </w:tc>
      </w:tr>
      <w:tr>
        <w:tc>
          <w:tcPr>
            <w:tcW w:type="dxa" w:w="4320"/>
          </w:tcPr>
          <w:p>
            <w:r>
              <w:t>CVSS Vector</w:t>
            </w:r>
          </w:p>
        </w:tc>
        <w:tc>
          <w:tcPr>
            <w:tcW w:type="dxa" w:w="4320"/>
          </w:tcPr>
          <w:p>
            <w:r>
              <w:t>CVSS:3.1/AV:N/AC:L/PR:N/UI:N/S:U/C:H/I:H/A:N</w:t>
            </w:r>
          </w:p>
        </w:tc>
      </w:tr>
    </w:tbl>
    <w:p/>
    <w:p>
      <w:pPr>
        <w:pStyle w:val="Heading4"/>
      </w:pPr>
      <w:r>
        <w:t>Description</w:t>
      </w:r>
    </w:p>
    <w:p>
      <w:r>
        <w:t>This type of vulnerability arises, if an application processes XML and is configured to support external entities.</w:t>
      </w:r>
    </w:p>
    <w:p/>
    <w:p>
      <w:r>
        <w:t xml:space="preserve">Exemplary Payload:    </w:t>
      </w:r>
    </w:p>
    <w:p>
      <w:pPr>
        <w:pStyle w:val="CodeBlock"/>
        <w:shd w:val="clear" w:color="auto" w:fill="F2F2F2"/>
      </w:pPr>
      <w:r>
        <w:rPr>
          <w:rFonts w:ascii="Courier New" w:hAnsi="Courier New"/>
          <w:sz w:val="20"/>
        </w:rPr>
        <w:t>&lt;?xml version="1.0" encoding="UTF-8"?&gt;</w:t>
        <w:br/>
        <w:t>&lt;!DOCTYPE abcd [ &lt;!ENTITY xxe SYSTEM "file:///etc/passwd"&gt; ]&gt;</w:t>
        <w:br/>
        <w:t>&lt;example&gt;</w:t>
        <w:br/>
        <w:t xml:space="preserve">    &lt;item&gt;&amp;xxe;&lt;/item&gt;</w:t>
        <w:br/>
        <w:t>&lt;/example&gt;</w:t>
      </w:r>
    </w:p>
    <w:p/>
    <w:p>
      <w:pPr>
        <w:pStyle w:val="Heading4"/>
      </w:pPr>
      <w:r>
        <w:t>Recommendation</w:t>
      </w:r>
    </w:p>
    <w:p>
      <w:r>
        <w:t>It is recommended to completely disable external entities (DTDs). Further guidance can be found in OWASP's *XML External Entity Prevention Cheat Sheet* (https://cheatsheetseries.owasp.org/cheatsheets/XML_External_Entity_Prevention_Cheat_Sheet.html).</w:t>
      </w:r>
    </w:p>
    <w:p/>
    <w:p>
      <w:pPr>
        <w:pStyle w:val="Heading4"/>
      </w:pPr>
      <w:r>
        <w:t>References</w:t>
      </w:r>
    </w:p>
    <w:p>
      <w:pPr>
        <w:pStyle w:val="ListBullet"/>
      </w:pPr>
      <w:r>
        <w:t>OWASP: XML External Entity (XXE) Processing (https://owasp.org/www-community/vulnerabilities/XML_External_Entity_(XXE)_Processing)</w:t>
      </w:r>
    </w:p>
    <w:p>
      <w:r>
        <w:br w:type="page"/>
      </w:r>
    </w:p>
    <w:p>
      <w:pPr>
        <w:pStyle w:val="Heading1"/>
      </w:pPr>
      <w:r>
        <w:t>#PEN20250003 Open Redirect in Test Shop</w:t>
      </w:r>
    </w:p>
    <w:p>
      <w:r>
        <w:t>CVSS:3.1/AV:N/AC:H/PR:N/UI:R/S:U/C:N/I:L/A:N</w:t>
        <w:tab/>
        <w:t>Low (3.1)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Asset</w:t>
            </w:r>
          </w:p>
        </w:tc>
        <w:tc>
          <w:tcPr>
            <w:tcW w:type="dxa" w:w="4320"/>
          </w:tcPr>
          <w:p>
            <w:r>
              <w:t>Test Shop</w:t>
            </w:r>
          </w:p>
        </w:tc>
      </w:tr>
      <w:tr>
        <w:tc>
          <w:tcPr>
            <w:tcW w:type="dxa" w:w="4320"/>
          </w:tcPr>
          <w:p>
            <w:r>
              <w:t>CWE</w:t>
            </w:r>
          </w:p>
        </w:tc>
        <w:tc>
          <w:tcPr>
            <w:tcW w:type="dxa" w:w="4320"/>
          </w:tcPr>
          <w:p>
            <w:r>
              <w:t>CWE-CWE-601 (https://cwe.mitre.org/data/definitions/601.html)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 (3.1)</w:t>
            </w:r>
          </w:p>
        </w:tc>
      </w:tr>
      <w:tr>
        <w:tc>
          <w:tcPr>
            <w:tcW w:type="dxa" w:w="4320"/>
          </w:tcPr>
          <w:p>
            <w:r>
              <w:t>CVSS Vector</w:t>
            </w:r>
          </w:p>
        </w:tc>
        <w:tc>
          <w:tcPr>
            <w:tcW w:type="dxa" w:w="4320"/>
          </w:tcPr>
          <w:p>
            <w:r>
              <w:t>CVSS:3.1/AV:N/AC:H/PR:N/UI:R/S:U/C:N/I:L/A:N</w:t>
            </w:r>
          </w:p>
        </w:tc>
      </w:tr>
    </w:tbl>
    <w:p/>
    <w:p>
      <w:pPr>
        <w:pStyle w:val="Heading4"/>
      </w:pPr>
      <w:r>
        <w:t>Description</w:t>
      </w:r>
    </w:p>
    <w:p>
      <w:r>
        <w:t>This type if vulnerability arises, if an application redirects to untrusted URLs.</w:t>
      </w:r>
    </w:p>
    <w:p/>
    <w:p>
      <w:r>
        <w:t>Exemplary Request:</w:t>
      </w:r>
    </w:p>
    <w:p>
      <w:pPr>
        <w:pStyle w:val="CodeBlock"/>
        <w:shd w:val="clear" w:color="auto" w:fill="F2F2F2"/>
      </w:pPr>
      <w:r>
        <w:rPr>
          <w:rFonts w:ascii="Courier New" w:hAnsi="Courier New"/>
          <w:sz w:val="20"/>
        </w:rPr>
        <w:t>GET /redirect?to=https://lhq.at HTTP/1.1</w:t>
        <w:br/>
        <w:t>Host: test.shop</w:t>
      </w:r>
    </w:p>
    <w:p/>
    <w:p>
      <w:r>
        <w:t>Response:</w:t>
      </w:r>
    </w:p>
    <w:p>
      <w:pPr>
        <w:pStyle w:val="CodeBlock"/>
        <w:shd w:val="clear" w:color="auto" w:fill="F2F2F2"/>
      </w:pPr>
      <w:r>
        <w:rPr>
          <w:rFonts w:ascii="Courier New" w:hAnsi="Courier New"/>
          <w:sz w:val="20"/>
        </w:rPr>
        <w:t>HTTP/1.1 302 Found</w:t>
        <w:br/>
        <w:t>Location: https://lhq.at</w:t>
      </w:r>
    </w:p>
    <w:p/>
    <w:p>
      <w:pPr>
        <w:pStyle w:val="Heading4"/>
      </w:pPr>
      <w:r>
        <w:t>Recommendation</w:t>
      </w:r>
    </w:p>
    <w:p>
      <w:r>
        <w:t>It is recommended to do not dynamically redirect to untrusted URLs. Further guidance can be found in OWASP's *Open Redirect Prevention Cheat Sheet* (https://cheatsheetseries.owasp.org/cheatsheets/Unvalidated_Redirects_and_Forwards_Cheat_Sheet.html).</w:t>
      </w:r>
    </w:p>
    <w:p/>
    <w:p>
      <w:pPr>
        <w:pStyle w:val="Heading4"/>
      </w:pPr>
      <w:r>
        <w:t>References</w:t>
      </w:r>
    </w:p>
    <w:p>
      <w:pPr>
        <w:pStyle w:val="ListBullet"/>
      </w:pPr>
      <w:r>
        <w:t>OWASP: Open Redirect Prevention Cheat Sheet (https://cheatsheetseries.owasp.org/cheatsheets/Unvalidated_Redirects_and_Forwards_Cheat_Sheet.html)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40"/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