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THE GLOBAL CONTRACT (PROBLEM &amp; PROMISE)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Core Market Problem/Opportunity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an era where decisions—from everyday choices to high-stakes economic policies—are increasingly driven by fast, intuitive judgments, a critical gap exists between what we believe to be rational decision-making and the reality of our cognitive biases. The pervasive dominance of automatic System 1 processes leads to systematic errors such as overconfidence, misinterpretation of probabilities, and the construction of overly coherent narratives that mask underlying randomness. This misalignment not only derails personal and organizational outcomes but also imposes significant costs on public policy and market behaviors.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opportunity lies in recognizing this deep-rooted dissonance between our intuitive and analytical selves and transforming it into a strength. By illuminating the hidden mechanisms behind cognitive illusions—ranging from anchoring effects and the law of small numbers to the peak–end rule and framing biases—the approach invites leaders, professionals, and decision-makers to harness deliberate, evidence-based strategies that counteract these biases, thereby enabling more accurate, resilient, and strategic decisions.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Overall Core Promise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Transform your decision-making paradigm by mastering the interplay between automatic intuition and reflective analysis. The workshop delivers a transformative journey that equips participants with clear strategies to recognize, challenge, and recalibrate inherent cognitive biases, ultimately empowering them to achieve superior outcomes in both personal and professional arenas.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Ideal Target Audience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Decision-makers, strategists, and business leaders who routinely navigate high-stakes environments and complex data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Professionals in fields such as behavioral economics, psychology, policymaking, finance, and corporate strategy facing the challenge of overcoming inherent cognitive distortions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Individuals aspiring to enhance judgment accuracy, foster resilience against bias, and implement systematic debiasing techniques to ensure more rational, outcome-driven decisions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THE ACTIONABLE ARCHITECTURE (PILLARS &amp; SEQUENCE)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Foundational Pillars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Dual-Process Mastery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Core Principle: Understand and differentiate the fast, automatic System 1 from the deliberate, analytical System 2 processes.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Direct Contribution: This foundational insight enables participants to pinpoint when intuitive judgments may be misleading and when to engage counteractive reflective analysis, setting the stage for all subsequent strategies.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Cognitive Bias Awareness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Core Principle: Identify pervasive biases—such as cognitive ease, anchoring, availability, and representativeness—that distort judgment and decision-making.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Direct Contribution: Recognizing these biases builds awareness that is essential for counteracting their influence in real-world decisions.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Statistical Reasoning and Debiasing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Core Principle: Integrate evidence-based models (e.g., regression to the mean, prospect theory) to replace intuitive, nonregressive predictions with systematic probabilistic analysis.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Direct Contribution: Equips participants with tools to objectively analyze data, thereby mitigating misinterpretations that stem from purely intuitive assessments.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Narrative Construction and Memory Dynamics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Core Principle: Examine how our memory and narrative-building (via the peak–end rule and two selves theory) distort our perception of experiences and outcomes.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Direct Contribution: Enables a recalibration of future decisions by aligning remembered evaluations with lived experiences, reducing overconfidence and miswanting.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Risk Framing and Policy Design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Core Principle: Develop strategies for broad framing, risk aggregation, and the application of structured risk policies to overcome narrow, emotionally charged judgments.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Direct Contribution: Provides a framework for consistent, rational decision-making by aggregating and reframing risk, which is essential for both individual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