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4170863"/>
        <w:docPartObj>
          <w:docPartGallery w:val="Cover Pages"/>
          <w:docPartUnique/>
        </w:docPartObj>
      </w:sdtPr>
      <w:sdtEndPr/>
      <w:sdtContent>
        <w:p w:rsidR="000E48EB" w:rsidRDefault="000E48EB">
          <w:r>
            <w:rPr>
              <w:noProof/>
              <w:lang w:eastAsia="pt-BR"/>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48EB" w:rsidRDefault="008678C9">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48EB">
                                      <w:rPr>
                                        <w:caps/>
                                        <w:color w:val="5B9BD5" w:themeColor="accent1"/>
                                        <w:sz w:val="64"/>
                                        <w:szCs w:val="64"/>
                                      </w:rPr>
                                      <w:t>MEMORANDUM OF UNDERSTANDING</w:t>
                                    </w:r>
                                  </w:sdtContent>
                                </w:sdt>
                              </w:p>
                              <w:sdt>
                                <w:sdtPr>
                                  <w:rPr>
                                    <w:b/>
                                    <w:color w:val="767171" w:themeColor="background2" w:themeShade="80"/>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E48EB" w:rsidRDefault="00E30910">
                                    <w:pPr>
                                      <w:jc w:val="right"/>
                                      <w:rPr>
                                        <w:smallCaps/>
                                        <w:color w:val="404040" w:themeColor="text1" w:themeTint="BF"/>
                                        <w:sz w:val="36"/>
                                        <w:szCs w:val="36"/>
                                      </w:rPr>
                                    </w:pPr>
                                    <w:r w:rsidRPr="00A52981">
                                      <w:rPr>
                                        <w:b/>
                                        <w:color w:val="767171" w:themeColor="background2" w:themeShade="80"/>
                                        <w:sz w:val="36"/>
                                        <w:szCs w:val="36"/>
                                      </w:rPr>
                                      <w:t xml:space="preserve">Avaliação de </w:t>
                                    </w:r>
                                    <w:r w:rsidR="00A52981" w:rsidRPr="00A52981">
                                      <w:rPr>
                                        <w:b/>
                                        <w:color w:val="767171" w:themeColor="background2" w:themeShade="80"/>
                                        <w:sz w:val="36"/>
                                        <w:szCs w:val="36"/>
                                      </w:rPr>
                                      <w:t>R</w:t>
                                    </w:r>
                                    <w:r w:rsidRPr="00A52981">
                                      <w:rPr>
                                        <w:b/>
                                        <w:color w:val="767171" w:themeColor="background2" w:themeShade="80"/>
                                        <w:sz w:val="36"/>
                                        <w:szCs w:val="36"/>
                                      </w:rPr>
                                      <w:t>isco</w:t>
                                    </w:r>
                                    <w:r w:rsidR="008E2326">
                                      <w:rPr>
                                        <w:b/>
                                        <w:color w:val="767171" w:themeColor="background2" w:themeShade="80"/>
                                        <w:sz w:val="36"/>
                                        <w:szCs w:val="36"/>
                                      </w:rPr>
                                      <w:t xml:space="preserve"> para a Cristal Pigmentos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aixa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eWCAw&#10;hQIAAGgFAAAOAAAAAAAAAAAAAAAAAC4CAABkcnMvZTJvRG9jLnhtbFBLAQItABQABgAIAAAAIQDD&#10;TVCA2wAAAAYBAAAPAAAAAAAAAAAAAAAAAN8EAABkcnMvZG93bnJldi54bWxQSwUGAAAAAAQABADz&#10;AAAA5wUAAAAA&#10;" filled="f" stroked="f" strokeweight=".5pt">
                    <v:textbox inset="126pt,0,54pt,0">
                      <w:txbxContent>
                        <w:p w:rsidR="000E48EB" w:rsidRDefault="000C002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48EB">
                                <w:rPr>
                                  <w:caps/>
                                  <w:color w:val="5B9BD5" w:themeColor="accent1"/>
                                  <w:sz w:val="64"/>
                                  <w:szCs w:val="64"/>
                                </w:rPr>
                                <w:t>MEMORANDUM OF UNDERSTANDING</w:t>
                              </w:r>
                            </w:sdtContent>
                          </w:sdt>
                        </w:p>
                        <w:sdt>
                          <w:sdtPr>
                            <w:rPr>
                              <w:b/>
                              <w:color w:val="767171" w:themeColor="background2" w:themeShade="80"/>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E48EB" w:rsidRDefault="00E30910">
                              <w:pPr>
                                <w:jc w:val="right"/>
                                <w:rPr>
                                  <w:smallCaps/>
                                  <w:color w:val="404040" w:themeColor="text1" w:themeTint="BF"/>
                                  <w:sz w:val="36"/>
                                  <w:szCs w:val="36"/>
                                </w:rPr>
                              </w:pPr>
                              <w:r w:rsidRPr="00A52981">
                                <w:rPr>
                                  <w:b/>
                                  <w:color w:val="767171" w:themeColor="background2" w:themeShade="80"/>
                                  <w:sz w:val="36"/>
                                  <w:szCs w:val="36"/>
                                </w:rPr>
                                <w:t xml:space="preserve">Avaliação de </w:t>
                              </w:r>
                              <w:r w:rsidR="00A52981" w:rsidRPr="00A52981">
                                <w:rPr>
                                  <w:b/>
                                  <w:color w:val="767171" w:themeColor="background2" w:themeShade="80"/>
                                  <w:sz w:val="36"/>
                                  <w:szCs w:val="36"/>
                                </w:rPr>
                                <w:t>R</w:t>
                              </w:r>
                              <w:r w:rsidRPr="00A52981">
                                <w:rPr>
                                  <w:b/>
                                  <w:color w:val="767171" w:themeColor="background2" w:themeShade="80"/>
                                  <w:sz w:val="36"/>
                                  <w:szCs w:val="36"/>
                                </w:rPr>
                                <w:t>isco</w:t>
                              </w:r>
                              <w:r w:rsidR="008E2326">
                                <w:rPr>
                                  <w:b/>
                                  <w:color w:val="767171" w:themeColor="background2" w:themeShade="80"/>
                                  <w:sz w:val="36"/>
                                  <w:szCs w:val="36"/>
                                </w:rPr>
                                <w:t xml:space="preserve"> para a Cristal Pigmentos</w:t>
                              </w:r>
                            </w:p>
                          </w:sdtContent>
                        </w:sdt>
                      </w:txbxContent>
                    </v:textbox>
                    <w10:wrap type="square" anchorx="page" anchory="page"/>
                  </v:shape>
                </w:pict>
              </mc:Fallback>
            </mc:AlternateContent>
          </w:r>
        </w:p>
        <w:p w:rsidR="0077771B" w:rsidRDefault="0077771B">
          <w:pPr>
            <w:rPr>
              <w:noProof/>
              <w:lang w:eastAsia="pt-BR"/>
            </w:rPr>
          </w:pPr>
        </w:p>
        <w:p w:rsidR="0077771B" w:rsidRDefault="0077771B">
          <w:pPr>
            <w:rPr>
              <w:noProof/>
              <w:lang w:eastAsia="pt-BR"/>
            </w:rPr>
          </w:pPr>
        </w:p>
        <w:p w:rsidR="0077771B" w:rsidRDefault="0077771B">
          <w:pPr>
            <w:rPr>
              <w:noProof/>
              <w:lang w:eastAsia="pt-BR"/>
            </w:rPr>
          </w:pPr>
        </w:p>
        <w:p w:rsidR="0077771B" w:rsidRDefault="0077771B">
          <w:pPr>
            <w:rPr>
              <w:noProof/>
              <w:lang w:eastAsia="pt-BR"/>
            </w:rPr>
          </w:pPr>
        </w:p>
        <w:p w:rsidR="0077771B" w:rsidRDefault="0077771B" w:rsidP="0077771B">
          <w:pPr>
            <w:jc w:val="right"/>
          </w:pPr>
          <w:r w:rsidRPr="004E1CA0">
            <w:rPr>
              <w:noProof/>
              <w:lang w:eastAsia="pt-BR"/>
            </w:rPr>
            <w:drawing>
              <wp:inline distT="0" distB="0" distL="0" distR="0" wp14:anchorId="359F2E3E" wp14:editId="36BDCB14">
                <wp:extent cx="1276350" cy="26994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4251" cy="273733"/>
                        </a:xfrm>
                        <a:prstGeom prst="rect">
                          <a:avLst/>
                        </a:prstGeom>
                        <a:noFill/>
                        <a:ln>
                          <a:noFill/>
                        </a:ln>
                      </pic:spPr>
                    </pic:pic>
                  </a:graphicData>
                </a:graphic>
              </wp:inline>
            </w:drawing>
          </w:r>
        </w:p>
        <w:p w:rsidR="0077771B" w:rsidRDefault="0077771B"/>
        <w:p w:rsidR="000E48EB" w:rsidRDefault="00315CAA">
          <w:r>
            <w:rPr>
              <w:noProof/>
              <w:lang w:eastAsia="pt-BR"/>
            </w:rPr>
            <mc:AlternateContent>
              <mc:Choice Requires="wps">
                <w:drawing>
                  <wp:anchor distT="0" distB="0" distL="114300" distR="114300" simplePos="0" relativeHeight="251661312" behindDoc="0" locked="0" layoutInCell="1" allowOverlap="1">
                    <wp:simplePos x="0" y="0"/>
                    <wp:positionH relativeFrom="page">
                      <wp:posOffset>1609725</wp:posOffset>
                    </wp:positionH>
                    <wp:positionV relativeFrom="page">
                      <wp:posOffset>8115300</wp:posOffset>
                    </wp:positionV>
                    <wp:extent cx="5723890" cy="1009650"/>
                    <wp:effectExtent l="0" t="0" r="0" b="12065"/>
                    <wp:wrapSquare wrapText="bothSides"/>
                    <wp:docPr id="153" name="Caixa de Texto 153"/>
                    <wp:cNvGraphicFramePr/>
                    <a:graphic xmlns:a="http://schemas.openxmlformats.org/drawingml/2006/main">
                      <a:graphicData uri="http://schemas.microsoft.com/office/word/2010/wordprocessingShape">
                        <wps:wsp>
                          <wps:cNvSpPr txBox="1"/>
                          <wps:spPr>
                            <a:xfrm>
                              <a:off x="0" y="0"/>
                              <a:ext cx="572389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48EB" w:rsidRDefault="000E48EB">
                                <w:pPr>
                                  <w:pStyle w:val="SemEspaamento"/>
                                  <w:jc w:val="right"/>
                                  <w:rPr>
                                    <w:color w:val="5B9BD5" w:themeColor="accent1"/>
                                    <w:sz w:val="28"/>
                                    <w:szCs w:val="28"/>
                                  </w:rPr>
                                </w:pPr>
                                <w:r>
                                  <w:rPr>
                                    <w:color w:val="5B9BD5" w:themeColor="accent1"/>
                                    <w:sz w:val="28"/>
                                    <w:szCs w:val="28"/>
                                  </w:rPr>
                                  <w:t>Resumo</w:t>
                                </w:r>
                              </w:p>
                              <w:sdt>
                                <w:sdtPr>
                                  <w:rPr>
                                    <w:b/>
                                    <w:color w:val="767171" w:themeColor="background2" w:themeShade="80"/>
                                    <w:sz w:val="18"/>
                                    <w:szCs w:val="20"/>
                                  </w:rPr>
                                  <w:alias w:val="Resumo"/>
                                  <w:tag w:val=""/>
                                  <w:id w:val="1375273687"/>
                                  <w:dataBinding w:prefixMappings="xmlns:ns0='http://schemas.microsoft.com/office/2006/coverPageProps' " w:xpath="/ns0:CoverPageProperties[1]/ns0:Abstract[1]" w:storeItemID="{55AF091B-3C7A-41E3-B477-F2FDAA23CFDA}"/>
                                  <w:text w:multiLine="1"/>
                                </w:sdtPr>
                                <w:sdtEndPr/>
                                <w:sdtContent>
                                  <w:p w:rsidR="000E48EB" w:rsidRPr="00A52981" w:rsidRDefault="000E48EB">
                                    <w:pPr>
                                      <w:pStyle w:val="SemEspaamento"/>
                                      <w:jc w:val="right"/>
                                      <w:rPr>
                                        <w:color w:val="767171" w:themeColor="background2" w:themeShade="80"/>
                                        <w:sz w:val="18"/>
                                        <w:szCs w:val="20"/>
                                      </w:rPr>
                                    </w:pPr>
                                    <w:r w:rsidRPr="00A52981">
                                      <w:rPr>
                                        <w:b/>
                                        <w:color w:val="767171" w:themeColor="background2" w:themeShade="80"/>
                                        <w:sz w:val="18"/>
                                        <w:szCs w:val="20"/>
                                      </w:rPr>
                                      <w:t>Este documento tem por objetivo relatar o entendimento d</w:t>
                                    </w:r>
                                    <w:r w:rsidR="00E30910" w:rsidRPr="00A52981">
                                      <w:rPr>
                                        <w:b/>
                                        <w:color w:val="767171" w:themeColor="background2" w:themeShade="80"/>
                                        <w:sz w:val="18"/>
                                        <w:szCs w:val="20"/>
                                      </w:rPr>
                                      <w:t xml:space="preserve">o estudo de </w:t>
                                    </w:r>
                                    <w:r w:rsidR="00457FC3">
                                      <w:rPr>
                                        <w:b/>
                                        <w:color w:val="767171" w:themeColor="background2" w:themeShade="80"/>
                                        <w:sz w:val="18"/>
                                        <w:szCs w:val="20"/>
                                      </w:rPr>
                                      <w:t xml:space="preserve">avaliação de risco </w:t>
                                    </w:r>
                                    <w:r w:rsidRPr="00A52981">
                                      <w:rPr>
                                        <w:b/>
                                        <w:color w:val="767171" w:themeColor="background2" w:themeShade="80"/>
                                        <w:sz w:val="18"/>
                                        <w:szCs w:val="20"/>
                                      </w:rPr>
                                      <w:t>realizad</w:t>
                                    </w:r>
                                    <w:r w:rsidR="00457FC3">
                                      <w:rPr>
                                        <w:b/>
                                        <w:color w:val="767171" w:themeColor="background2" w:themeShade="80"/>
                                        <w:sz w:val="18"/>
                                        <w:szCs w:val="20"/>
                                      </w:rPr>
                                      <w:t>o</w:t>
                                    </w:r>
                                    <w:r w:rsidRPr="00A52981">
                                      <w:rPr>
                                        <w:b/>
                                        <w:color w:val="767171" w:themeColor="background2" w:themeShade="80"/>
                                        <w:sz w:val="18"/>
                                        <w:szCs w:val="20"/>
                                      </w:rPr>
                                      <w:t xml:space="preserve"> entre Stefanini </w:t>
                                    </w:r>
                                    <w:r w:rsidR="00457FC3">
                                      <w:rPr>
                                        <w:b/>
                                        <w:color w:val="767171" w:themeColor="background2" w:themeShade="80"/>
                                        <w:sz w:val="18"/>
                                        <w:szCs w:val="20"/>
                                      </w:rPr>
                                      <w:t>e</w:t>
                                    </w:r>
                                    <w:r w:rsidR="00E30910" w:rsidRPr="00A52981">
                                      <w:rPr>
                                        <w:b/>
                                        <w:color w:val="767171" w:themeColor="background2" w:themeShade="80"/>
                                        <w:sz w:val="18"/>
                                        <w:szCs w:val="20"/>
                                      </w:rPr>
                                      <w:t xml:space="preserve"> a </w:t>
                                    </w:r>
                                    <w:r w:rsidR="00BE75A2" w:rsidRPr="00A52981">
                                      <w:rPr>
                                        <w:b/>
                                        <w:color w:val="767171" w:themeColor="background2" w:themeShade="80"/>
                                        <w:sz w:val="18"/>
                                        <w:szCs w:val="20"/>
                                      </w:rPr>
                                      <w:t>Cristal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aixa de Texto 153" o:spid="_x0000_s1027" type="#_x0000_t202" style="position:absolute;margin-left:126.75pt;margin-top:639pt;width:450.7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" filled="f" stroked="f" strokeweight=".5pt">
                    <v:textbox style="mso-fit-shape-to-text:t" inset="126pt,0,54pt,0">
                      <w:txbxContent>
                        <w:p w:rsidR="000E48EB" w:rsidRDefault="000E48EB">
                          <w:pPr>
                            <w:pStyle w:val="SemEspaamento"/>
                            <w:jc w:val="right"/>
                            <w:rPr>
                              <w:color w:val="5B9BD5" w:themeColor="accent1"/>
                              <w:sz w:val="28"/>
                              <w:szCs w:val="28"/>
                            </w:rPr>
                          </w:pPr>
                          <w:r>
                            <w:rPr>
                              <w:color w:val="5B9BD5" w:themeColor="accent1"/>
                              <w:sz w:val="28"/>
                              <w:szCs w:val="28"/>
                            </w:rPr>
                            <w:t>Resumo</w:t>
                          </w:r>
                        </w:p>
                        <w:sdt>
                          <w:sdtPr>
                            <w:rPr>
                              <w:b/>
                              <w:color w:val="767171" w:themeColor="background2" w:themeShade="80"/>
                              <w:sz w:val="18"/>
                              <w:szCs w:val="20"/>
                            </w:rPr>
                            <w:alias w:val="Resumo"/>
                            <w:tag w:val=""/>
                            <w:id w:val="1375273687"/>
                            <w:dataBinding w:prefixMappings="xmlns:ns0='http://schemas.microsoft.com/office/2006/coverPageProps' " w:xpath="/ns0:CoverPageProperties[1]/ns0:Abstract[1]" w:storeItemID="{55AF091B-3C7A-41E3-B477-F2FDAA23CFDA}"/>
                            <w:text w:multiLine="1"/>
                          </w:sdtPr>
                          <w:sdtEndPr/>
                          <w:sdtContent>
                            <w:p w:rsidR="000E48EB" w:rsidRPr="00A52981" w:rsidRDefault="000E48EB">
                              <w:pPr>
                                <w:pStyle w:val="SemEspaamento"/>
                                <w:jc w:val="right"/>
                                <w:rPr>
                                  <w:color w:val="767171" w:themeColor="background2" w:themeShade="80"/>
                                  <w:sz w:val="18"/>
                                  <w:szCs w:val="20"/>
                                </w:rPr>
                              </w:pPr>
                              <w:r w:rsidRPr="00A52981">
                                <w:rPr>
                                  <w:b/>
                                  <w:color w:val="767171" w:themeColor="background2" w:themeShade="80"/>
                                  <w:sz w:val="18"/>
                                  <w:szCs w:val="20"/>
                                </w:rPr>
                                <w:t>Este documento tem por objetivo relatar o entendimento d</w:t>
                              </w:r>
                              <w:r w:rsidR="00E30910" w:rsidRPr="00A52981">
                                <w:rPr>
                                  <w:b/>
                                  <w:color w:val="767171" w:themeColor="background2" w:themeShade="80"/>
                                  <w:sz w:val="18"/>
                                  <w:szCs w:val="20"/>
                                </w:rPr>
                                <w:t xml:space="preserve">o estudo de </w:t>
                              </w:r>
                              <w:r w:rsidR="00457FC3">
                                <w:rPr>
                                  <w:b/>
                                  <w:color w:val="767171" w:themeColor="background2" w:themeShade="80"/>
                                  <w:sz w:val="18"/>
                                  <w:szCs w:val="20"/>
                                </w:rPr>
                                <w:t xml:space="preserve">avaliação de risco </w:t>
                              </w:r>
                              <w:r w:rsidRPr="00A52981">
                                <w:rPr>
                                  <w:b/>
                                  <w:color w:val="767171" w:themeColor="background2" w:themeShade="80"/>
                                  <w:sz w:val="18"/>
                                  <w:szCs w:val="20"/>
                                </w:rPr>
                                <w:t>realizad</w:t>
                              </w:r>
                              <w:r w:rsidR="00457FC3">
                                <w:rPr>
                                  <w:b/>
                                  <w:color w:val="767171" w:themeColor="background2" w:themeShade="80"/>
                                  <w:sz w:val="18"/>
                                  <w:szCs w:val="20"/>
                                </w:rPr>
                                <w:t>o</w:t>
                              </w:r>
                              <w:r w:rsidRPr="00A52981">
                                <w:rPr>
                                  <w:b/>
                                  <w:color w:val="767171" w:themeColor="background2" w:themeShade="80"/>
                                  <w:sz w:val="18"/>
                                  <w:szCs w:val="20"/>
                                </w:rPr>
                                <w:t xml:space="preserve"> entre Stefanini </w:t>
                              </w:r>
                              <w:r w:rsidR="00457FC3">
                                <w:rPr>
                                  <w:b/>
                                  <w:color w:val="767171" w:themeColor="background2" w:themeShade="80"/>
                                  <w:sz w:val="18"/>
                                  <w:szCs w:val="20"/>
                                </w:rPr>
                                <w:t>e</w:t>
                              </w:r>
                              <w:r w:rsidR="00E30910" w:rsidRPr="00A52981">
                                <w:rPr>
                                  <w:b/>
                                  <w:color w:val="767171" w:themeColor="background2" w:themeShade="80"/>
                                  <w:sz w:val="18"/>
                                  <w:szCs w:val="20"/>
                                </w:rPr>
                                <w:t xml:space="preserve"> a </w:t>
                              </w:r>
                              <w:r w:rsidR="00BE75A2" w:rsidRPr="00A52981">
                                <w:rPr>
                                  <w:b/>
                                  <w:color w:val="767171" w:themeColor="background2" w:themeShade="80"/>
                                  <w:sz w:val="18"/>
                                  <w:szCs w:val="20"/>
                                </w:rPr>
                                <w:t>Cristal</w:t>
                              </w:r>
                            </w:p>
                          </w:sdtContent>
                        </w:sdt>
                      </w:txbxContent>
                    </v:textbox>
                    <w10:wrap type="square" anchorx="page" anchory="page"/>
                  </v:shape>
                </w:pict>
              </mc:Fallback>
            </mc:AlternateContent>
          </w:r>
          <w:r w:rsidR="000E48EB">
            <w:rPr>
              <w:noProof/>
              <w:lang w:eastAsia="pt-BR"/>
            </w:rPr>
            <mc:AlternateContent>
              <mc:Choice Requires="wps">
                <w:drawing>
                  <wp:anchor distT="45720" distB="45720" distL="114300" distR="114300" simplePos="0" relativeHeight="251663360" behindDoc="0" locked="0" layoutInCell="1" allowOverlap="1">
                    <wp:simplePos x="0" y="0"/>
                    <wp:positionH relativeFrom="column">
                      <wp:posOffset>-260122</wp:posOffset>
                    </wp:positionH>
                    <wp:positionV relativeFrom="paragraph">
                      <wp:posOffset>636422</wp:posOffset>
                    </wp:positionV>
                    <wp:extent cx="2360930"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E48EB" w:rsidRDefault="000E48E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Caixa de Texto 2" o:spid="_x0000_s1028" type="#_x0000_t202" style="position:absolute;margin-left:-20.5pt;margin-top:50.1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" stroked="f">
                    <v:textbox style="mso-fit-shape-to-text:t">
                      <w:txbxContent>
                        <w:p w:rsidR="000E48EB" w:rsidRDefault="000E48EB"/>
                      </w:txbxContent>
                    </v:textbox>
                    <w10:wrap type="square"/>
                  </v:shape>
                </w:pict>
              </mc:Fallback>
            </mc:AlternateContent>
          </w:r>
          <w:r w:rsidR="000E48EB">
            <w:br w:type="page"/>
          </w:r>
        </w:p>
      </w:sdtContent>
    </w:sdt>
    <w:p w:rsidR="009E4E42" w:rsidRPr="008927DF" w:rsidRDefault="009E4E42" w:rsidP="009E4E42">
      <w:pPr>
        <w:pStyle w:val="Default"/>
        <w:rPr>
          <w:rFonts w:ascii="Arial Narrow" w:hAnsi="Arial Narrow"/>
          <w:b/>
          <w:bCs/>
          <w:color w:val="00B050"/>
          <w:sz w:val="28"/>
          <w:szCs w:val="28"/>
        </w:rPr>
      </w:pPr>
      <w:r w:rsidRPr="008927DF">
        <w:rPr>
          <w:rFonts w:ascii="Arial Narrow" w:hAnsi="Arial Narrow"/>
          <w:b/>
          <w:bCs/>
          <w:color w:val="00B050"/>
          <w:sz w:val="28"/>
          <w:szCs w:val="28"/>
        </w:rPr>
        <w:lastRenderedPageBreak/>
        <w:t xml:space="preserve">Introdução </w:t>
      </w:r>
    </w:p>
    <w:p w:rsidR="009E4E42" w:rsidRPr="00B81668" w:rsidRDefault="009E4E42" w:rsidP="009E4E42">
      <w:pPr>
        <w:pStyle w:val="Default"/>
        <w:rPr>
          <w:rFonts w:ascii="Arial Narrow" w:hAnsi="Arial Narrow"/>
          <w:b/>
          <w:bCs/>
          <w:color w:val="auto"/>
        </w:rPr>
      </w:pPr>
    </w:p>
    <w:p w:rsidR="009E4E42" w:rsidRPr="00A52981" w:rsidRDefault="0079731D" w:rsidP="009E4E42">
      <w:p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 xml:space="preserve">Diferentemente de uma ata, o </w:t>
      </w:r>
      <w:proofErr w:type="spellStart"/>
      <w:r w:rsidRPr="00A52981">
        <w:rPr>
          <w:rFonts w:ascii="Arial Narrow" w:hAnsi="Arial Narrow"/>
          <w:color w:val="767171" w:themeColor="background2" w:themeShade="80"/>
          <w:sz w:val="24"/>
          <w:szCs w:val="24"/>
        </w:rPr>
        <w:t>Mo</w:t>
      </w:r>
      <w:r w:rsidR="009E4E42" w:rsidRPr="00A52981">
        <w:rPr>
          <w:rFonts w:ascii="Arial Narrow" w:hAnsi="Arial Narrow"/>
          <w:color w:val="767171" w:themeColor="background2" w:themeShade="80"/>
          <w:sz w:val="24"/>
          <w:szCs w:val="24"/>
        </w:rPr>
        <w:t>U</w:t>
      </w:r>
      <w:proofErr w:type="spellEnd"/>
      <w:r w:rsidR="009E4E42" w:rsidRPr="00A52981">
        <w:rPr>
          <w:rFonts w:ascii="Arial Narrow" w:hAnsi="Arial Narrow"/>
          <w:color w:val="767171" w:themeColor="background2" w:themeShade="80"/>
          <w:sz w:val="24"/>
          <w:szCs w:val="24"/>
        </w:rPr>
        <w:t xml:space="preserve"> – </w:t>
      </w:r>
      <w:proofErr w:type="spellStart"/>
      <w:r w:rsidR="009E4E42" w:rsidRPr="00A52981">
        <w:rPr>
          <w:rFonts w:ascii="Arial Narrow" w:hAnsi="Arial Narrow"/>
          <w:i/>
          <w:color w:val="767171" w:themeColor="background2" w:themeShade="80"/>
          <w:sz w:val="24"/>
          <w:szCs w:val="24"/>
        </w:rPr>
        <w:t>Memorandum</w:t>
      </w:r>
      <w:proofErr w:type="spellEnd"/>
      <w:r w:rsidR="009E4E42" w:rsidRPr="00A52981">
        <w:rPr>
          <w:rFonts w:ascii="Arial Narrow" w:hAnsi="Arial Narrow"/>
          <w:i/>
          <w:color w:val="767171" w:themeColor="background2" w:themeShade="80"/>
          <w:sz w:val="24"/>
          <w:szCs w:val="24"/>
        </w:rPr>
        <w:t xml:space="preserve"> </w:t>
      </w:r>
      <w:proofErr w:type="spellStart"/>
      <w:r w:rsidR="009E4E42" w:rsidRPr="00A52981">
        <w:rPr>
          <w:rFonts w:ascii="Arial Narrow" w:hAnsi="Arial Narrow"/>
          <w:i/>
          <w:color w:val="767171" w:themeColor="background2" w:themeShade="80"/>
          <w:sz w:val="24"/>
          <w:szCs w:val="24"/>
        </w:rPr>
        <w:t>of</w:t>
      </w:r>
      <w:proofErr w:type="spellEnd"/>
      <w:r w:rsidR="009E4E42" w:rsidRPr="00A52981">
        <w:rPr>
          <w:rFonts w:ascii="Arial Narrow" w:hAnsi="Arial Narrow"/>
          <w:i/>
          <w:color w:val="767171" w:themeColor="background2" w:themeShade="80"/>
          <w:sz w:val="24"/>
          <w:szCs w:val="24"/>
        </w:rPr>
        <w:t xml:space="preserve"> </w:t>
      </w:r>
      <w:proofErr w:type="spellStart"/>
      <w:r w:rsidR="009E4E42" w:rsidRPr="00A52981">
        <w:rPr>
          <w:rFonts w:ascii="Arial Narrow" w:hAnsi="Arial Narrow"/>
          <w:i/>
          <w:color w:val="767171" w:themeColor="background2" w:themeShade="80"/>
          <w:sz w:val="24"/>
          <w:szCs w:val="24"/>
        </w:rPr>
        <w:t>Understanding</w:t>
      </w:r>
      <w:proofErr w:type="spellEnd"/>
      <w:r w:rsidR="009E4E42" w:rsidRPr="00A52981">
        <w:rPr>
          <w:rFonts w:ascii="Arial Narrow" w:hAnsi="Arial Narrow"/>
          <w:color w:val="767171" w:themeColor="background2" w:themeShade="80"/>
          <w:sz w:val="24"/>
          <w:szCs w:val="24"/>
        </w:rPr>
        <w:t xml:space="preserve"> é um documento mais informal, cujo objetivo é relatar entendimentos decorrentes de contatos por quaisquer meios de comunicação utilizados, de forma a garantir que tenha havido compreensão dos assuntos tratados naqueles contatos.</w:t>
      </w:r>
    </w:p>
    <w:p w:rsidR="00B56B0F" w:rsidRPr="00A52981" w:rsidRDefault="00B56B0F" w:rsidP="009E4E42">
      <w:p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Como sua função é minimizar a possibilidade de erros de compreensão pelas partes, anotações referentes a reuniões são reproduzidas de forma original, visando permitir o eventual reposicionamento de conceitos se necessário.</w:t>
      </w:r>
    </w:p>
    <w:p w:rsidR="009E4E42" w:rsidRDefault="009E4E42" w:rsidP="009E4E42">
      <w:pPr>
        <w:pStyle w:val="Default"/>
      </w:pPr>
    </w:p>
    <w:p w:rsidR="009E4E42" w:rsidRPr="008927DF" w:rsidRDefault="00BE75A2" w:rsidP="009E4E42">
      <w:pPr>
        <w:rPr>
          <w:rFonts w:ascii="Arial Narrow" w:hAnsi="Arial Narrow"/>
          <w:color w:val="00B050"/>
        </w:rPr>
      </w:pPr>
      <w:r w:rsidRPr="00BE75A2">
        <w:rPr>
          <w:rFonts w:ascii="Arial Narrow" w:hAnsi="Arial Narrow"/>
          <w:b/>
          <w:bCs/>
          <w:color w:val="00B050"/>
          <w:sz w:val="28"/>
          <w:szCs w:val="28"/>
        </w:rPr>
        <w:t>Cristal Pigmentos</w:t>
      </w:r>
      <w:r w:rsidR="004F7ABC">
        <w:rPr>
          <w:rFonts w:ascii="Arial Narrow" w:hAnsi="Arial Narrow"/>
          <w:b/>
          <w:bCs/>
          <w:color w:val="00B050"/>
          <w:sz w:val="28"/>
          <w:szCs w:val="28"/>
        </w:rPr>
        <w:t xml:space="preserve"> do Brasil - </w:t>
      </w:r>
      <w:r w:rsidR="009E4E42" w:rsidRPr="008927DF">
        <w:rPr>
          <w:rFonts w:ascii="Arial Narrow" w:hAnsi="Arial Narrow"/>
          <w:b/>
          <w:bCs/>
          <w:color w:val="00B050"/>
          <w:sz w:val="28"/>
          <w:szCs w:val="28"/>
        </w:rPr>
        <w:t>Situação Atual</w:t>
      </w:r>
    </w:p>
    <w:p w:rsidR="00C62C61" w:rsidRPr="00A52981" w:rsidRDefault="00C62C61" w:rsidP="00C62C61">
      <w:p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 xml:space="preserve">A </w:t>
      </w:r>
      <w:r w:rsidR="00BE75A2" w:rsidRPr="00A52981">
        <w:rPr>
          <w:rFonts w:ascii="Arial Narrow" w:hAnsi="Arial Narrow"/>
          <w:b/>
          <w:color w:val="767171" w:themeColor="background2" w:themeShade="80"/>
          <w:sz w:val="24"/>
          <w:szCs w:val="24"/>
        </w:rPr>
        <w:t>Cristal</w:t>
      </w:r>
      <w:r w:rsidRPr="00A52981">
        <w:rPr>
          <w:rFonts w:ascii="Arial Narrow" w:hAnsi="Arial Narrow"/>
          <w:color w:val="767171" w:themeColor="background2" w:themeShade="80"/>
          <w:sz w:val="24"/>
          <w:szCs w:val="24"/>
        </w:rPr>
        <w:t xml:space="preserve"> é a segunda maior produtora de pigmento de Dióxido de Titânio (TiO2) do mundo.</w:t>
      </w:r>
    </w:p>
    <w:p w:rsidR="00E938B6" w:rsidRPr="00A52981" w:rsidRDefault="00E938B6" w:rsidP="00C62C61">
      <w:p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Em fevereiro de 2017, ela foi adquirida</w:t>
      </w:r>
      <w:r w:rsidR="008A7B02" w:rsidRPr="00A52981">
        <w:rPr>
          <w:rFonts w:ascii="Arial Narrow" w:hAnsi="Arial Narrow"/>
          <w:color w:val="767171" w:themeColor="background2" w:themeShade="80"/>
          <w:sz w:val="24"/>
          <w:szCs w:val="24"/>
        </w:rPr>
        <w:t xml:space="preserve"> pela americana </w:t>
      </w:r>
      <w:proofErr w:type="spellStart"/>
      <w:r w:rsidR="008A7B02" w:rsidRPr="00A52981">
        <w:rPr>
          <w:rFonts w:ascii="Arial Narrow" w:hAnsi="Arial Narrow"/>
          <w:color w:val="767171" w:themeColor="background2" w:themeShade="80"/>
          <w:sz w:val="24"/>
          <w:szCs w:val="24"/>
        </w:rPr>
        <w:t>Tronox</w:t>
      </w:r>
      <w:proofErr w:type="spellEnd"/>
      <w:r w:rsidR="008A7B02" w:rsidRPr="00A52981">
        <w:rPr>
          <w:rFonts w:ascii="Arial Narrow" w:hAnsi="Arial Narrow"/>
          <w:color w:val="767171" w:themeColor="background2" w:themeShade="80"/>
          <w:sz w:val="24"/>
          <w:szCs w:val="24"/>
        </w:rPr>
        <w:t xml:space="preserve"> por 1,67 bilhões de dólares da TASNEE (Empresa Saudita de Industrialização). </w:t>
      </w:r>
      <w:r w:rsidRPr="00A52981">
        <w:rPr>
          <w:rFonts w:ascii="Arial Narrow" w:hAnsi="Arial Narrow"/>
          <w:color w:val="767171" w:themeColor="background2" w:themeShade="80"/>
          <w:sz w:val="24"/>
          <w:szCs w:val="24"/>
        </w:rPr>
        <w:t xml:space="preserve"> </w:t>
      </w:r>
    </w:p>
    <w:p w:rsidR="00C62C61" w:rsidRPr="00A52981" w:rsidRDefault="00C62C61" w:rsidP="00C62C61">
      <w:p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Conta com oito fábricas de TiO2 distribuídas em cinco continentes, sendo duas plantas nos Estados Unidos, uma na Inglaterra, uma na China, uma na França, uma na Arábia Saudita, uma na Austrália e uma no Brasil.</w:t>
      </w:r>
    </w:p>
    <w:p w:rsidR="00C62C61" w:rsidRPr="00A52981" w:rsidRDefault="00C62C61" w:rsidP="00C62C61">
      <w:p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 xml:space="preserve">Para o processo de produção no Brasil, a </w:t>
      </w:r>
      <w:r w:rsidR="00BE75A2" w:rsidRPr="00A52981">
        <w:rPr>
          <w:rFonts w:ascii="Arial Narrow" w:hAnsi="Arial Narrow"/>
          <w:b/>
          <w:color w:val="767171" w:themeColor="background2" w:themeShade="80"/>
          <w:sz w:val="24"/>
          <w:szCs w:val="24"/>
        </w:rPr>
        <w:t>Cristal</w:t>
      </w:r>
      <w:r w:rsidRPr="00A52981">
        <w:rPr>
          <w:rFonts w:ascii="Arial Narrow" w:hAnsi="Arial Narrow"/>
          <w:color w:val="767171" w:themeColor="background2" w:themeShade="80"/>
          <w:sz w:val="24"/>
          <w:szCs w:val="24"/>
        </w:rPr>
        <w:t xml:space="preserve"> conta com três unidades: a Mina do </w:t>
      </w:r>
      <w:proofErr w:type="spellStart"/>
      <w:r w:rsidRPr="00A52981">
        <w:rPr>
          <w:rFonts w:ascii="Arial Narrow" w:hAnsi="Arial Narrow"/>
          <w:color w:val="767171" w:themeColor="background2" w:themeShade="80"/>
          <w:sz w:val="24"/>
          <w:szCs w:val="24"/>
        </w:rPr>
        <w:t>Guajú</w:t>
      </w:r>
      <w:proofErr w:type="spellEnd"/>
      <w:r w:rsidRPr="00A52981">
        <w:rPr>
          <w:rFonts w:ascii="Arial Narrow" w:hAnsi="Arial Narrow"/>
          <w:color w:val="767171" w:themeColor="background2" w:themeShade="80"/>
          <w:sz w:val="24"/>
          <w:szCs w:val="24"/>
        </w:rPr>
        <w:t xml:space="preserve">, em </w:t>
      </w:r>
      <w:proofErr w:type="spellStart"/>
      <w:r w:rsidRPr="00A52981">
        <w:rPr>
          <w:rFonts w:ascii="Arial Narrow" w:hAnsi="Arial Narrow"/>
          <w:color w:val="767171" w:themeColor="background2" w:themeShade="80"/>
          <w:sz w:val="24"/>
          <w:szCs w:val="24"/>
        </w:rPr>
        <w:t>Mataraca</w:t>
      </w:r>
      <w:proofErr w:type="spellEnd"/>
      <w:r w:rsidRPr="00A52981">
        <w:rPr>
          <w:rFonts w:ascii="Arial Narrow" w:hAnsi="Arial Narrow"/>
          <w:color w:val="767171" w:themeColor="background2" w:themeShade="80"/>
          <w:sz w:val="24"/>
          <w:szCs w:val="24"/>
        </w:rPr>
        <w:t xml:space="preserve">, na Paraíba; a fábrica em Camaçari, na Bahia; e o escritório comercial na capital de São Paulo, o qual atende </w:t>
      </w:r>
      <w:r w:rsidR="00A52981" w:rsidRPr="00A52981">
        <w:rPr>
          <w:rFonts w:ascii="Arial Narrow" w:hAnsi="Arial Narrow"/>
          <w:color w:val="767171" w:themeColor="background2" w:themeShade="80"/>
          <w:sz w:val="24"/>
          <w:szCs w:val="24"/>
        </w:rPr>
        <w:t>à</w:t>
      </w:r>
      <w:r w:rsidRPr="00A52981">
        <w:rPr>
          <w:rFonts w:ascii="Arial Narrow" w:hAnsi="Arial Narrow"/>
          <w:color w:val="767171" w:themeColor="background2" w:themeShade="80"/>
          <w:sz w:val="24"/>
          <w:szCs w:val="24"/>
        </w:rPr>
        <w:t xml:space="preserve"> demanda de toda a América Latina.</w:t>
      </w:r>
    </w:p>
    <w:p w:rsidR="00C62C61" w:rsidRPr="00A52981" w:rsidRDefault="00C62C61" w:rsidP="00C62C61">
      <w:p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 xml:space="preserve">A planta da Bahia utiliza como principal matéria-prima o minério de Titânio, ou </w:t>
      </w:r>
      <w:proofErr w:type="spellStart"/>
      <w:r w:rsidRPr="00A52981">
        <w:rPr>
          <w:rFonts w:ascii="Arial Narrow" w:hAnsi="Arial Narrow"/>
          <w:color w:val="767171" w:themeColor="background2" w:themeShade="80"/>
          <w:sz w:val="24"/>
          <w:szCs w:val="24"/>
        </w:rPr>
        <w:t>ilmenita</w:t>
      </w:r>
      <w:proofErr w:type="spellEnd"/>
      <w:r w:rsidRPr="00A52981">
        <w:rPr>
          <w:rFonts w:ascii="Arial Narrow" w:hAnsi="Arial Narrow"/>
          <w:color w:val="767171" w:themeColor="background2" w:themeShade="80"/>
          <w:sz w:val="24"/>
          <w:szCs w:val="24"/>
        </w:rPr>
        <w:t xml:space="preserve">, retirado da mina do </w:t>
      </w:r>
      <w:proofErr w:type="spellStart"/>
      <w:r w:rsidRPr="00A52981">
        <w:rPr>
          <w:rFonts w:ascii="Arial Narrow" w:hAnsi="Arial Narrow"/>
          <w:color w:val="767171" w:themeColor="background2" w:themeShade="80"/>
          <w:sz w:val="24"/>
          <w:szCs w:val="24"/>
        </w:rPr>
        <w:t>Guajú</w:t>
      </w:r>
      <w:proofErr w:type="spellEnd"/>
      <w:r w:rsidRPr="00A52981">
        <w:rPr>
          <w:rFonts w:ascii="Arial Narrow" w:hAnsi="Arial Narrow"/>
          <w:color w:val="767171" w:themeColor="background2" w:themeShade="80"/>
          <w:sz w:val="24"/>
          <w:szCs w:val="24"/>
        </w:rPr>
        <w:t xml:space="preserve">. Além da </w:t>
      </w:r>
      <w:proofErr w:type="spellStart"/>
      <w:r w:rsidRPr="00A52981">
        <w:rPr>
          <w:rFonts w:ascii="Arial Narrow" w:hAnsi="Arial Narrow"/>
          <w:color w:val="767171" w:themeColor="background2" w:themeShade="80"/>
          <w:sz w:val="24"/>
          <w:szCs w:val="24"/>
        </w:rPr>
        <w:t>ilmenita</w:t>
      </w:r>
      <w:proofErr w:type="spellEnd"/>
      <w:r w:rsidRPr="00A52981">
        <w:rPr>
          <w:rFonts w:ascii="Arial Narrow" w:hAnsi="Arial Narrow"/>
          <w:color w:val="767171" w:themeColor="background2" w:themeShade="80"/>
          <w:sz w:val="24"/>
          <w:szCs w:val="24"/>
        </w:rPr>
        <w:t xml:space="preserve">, a Mina do </w:t>
      </w:r>
      <w:proofErr w:type="spellStart"/>
      <w:r w:rsidRPr="00A52981">
        <w:rPr>
          <w:rFonts w:ascii="Arial Narrow" w:hAnsi="Arial Narrow"/>
          <w:color w:val="767171" w:themeColor="background2" w:themeShade="80"/>
          <w:sz w:val="24"/>
          <w:szCs w:val="24"/>
        </w:rPr>
        <w:t>Guajú</w:t>
      </w:r>
      <w:proofErr w:type="spellEnd"/>
      <w:r w:rsidRPr="00A52981">
        <w:rPr>
          <w:rFonts w:ascii="Arial Narrow" w:hAnsi="Arial Narrow"/>
          <w:color w:val="767171" w:themeColor="background2" w:themeShade="80"/>
          <w:sz w:val="24"/>
          <w:szCs w:val="24"/>
        </w:rPr>
        <w:t xml:space="preserve"> também produz os minérios </w:t>
      </w:r>
      <w:proofErr w:type="spellStart"/>
      <w:r w:rsidRPr="00A52981">
        <w:rPr>
          <w:rFonts w:ascii="Arial Narrow" w:hAnsi="Arial Narrow"/>
          <w:color w:val="767171" w:themeColor="background2" w:themeShade="80"/>
          <w:sz w:val="24"/>
          <w:szCs w:val="24"/>
        </w:rPr>
        <w:t>zirconita</w:t>
      </w:r>
      <w:proofErr w:type="spellEnd"/>
      <w:r w:rsidRPr="00A52981">
        <w:rPr>
          <w:rFonts w:ascii="Arial Narrow" w:hAnsi="Arial Narrow"/>
          <w:color w:val="767171" w:themeColor="background2" w:themeShade="80"/>
          <w:sz w:val="24"/>
          <w:szCs w:val="24"/>
        </w:rPr>
        <w:t>, cianita e rutilo.</w:t>
      </w:r>
    </w:p>
    <w:p w:rsidR="00C62C61" w:rsidRPr="00A52981" w:rsidRDefault="00C62C61" w:rsidP="00C62C61">
      <w:p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 xml:space="preserve">O pigmento produzido na Bahia, ou trazido de outras plantas da </w:t>
      </w:r>
      <w:r w:rsidR="00BE75A2" w:rsidRPr="00A52981">
        <w:rPr>
          <w:rFonts w:ascii="Arial Narrow" w:hAnsi="Arial Narrow"/>
          <w:b/>
          <w:color w:val="767171" w:themeColor="background2" w:themeShade="80"/>
          <w:sz w:val="24"/>
          <w:szCs w:val="24"/>
        </w:rPr>
        <w:t>Cristal</w:t>
      </w:r>
      <w:r w:rsidRPr="00A52981">
        <w:rPr>
          <w:rFonts w:ascii="Arial Narrow" w:hAnsi="Arial Narrow"/>
          <w:color w:val="767171" w:themeColor="background2" w:themeShade="80"/>
          <w:sz w:val="24"/>
          <w:szCs w:val="24"/>
        </w:rPr>
        <w:t xml:space="preserve"> no mundo, é comercializado no Brasil e em toda a América Latina pelo escritório comercial da empresa localizado em São Paulo.</w:t>
      </w:r>
    </w:p>
    <w:p w:rsidR="00C62C61" w:rsidRDefault="00C62C61" w:rsidP="00C62C61">
      <w:p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 xml:space="preserve">A </w:t>
      </w:r>
      <w:r w:rsidR="00BE75A2" w:rsidRPr="00A52981">
        <w:rPr>
          <w:rFonts w:ascii="Arial Narrow" w:hAnsi="Arial Narrow"/>
          <w:b/>
          <w:color w:val="767171" w:themeColor="background2" w:themeShade="80"/>
          <w:sz w:val="24"/>
          <w:szCs w:val="24"/>
        </w:rPr>
        <w:t>Cristal</w:t>
      </w:r>
      <w:r w:rsidRPr="00A52981">
        <w:rPr>
          <w:rFonts w:ascii="Arial Narrow" w:hAnsi="Arial Narrow"/>
          <w:color w:val="767171" w:themeColor="background2" w:themeShade="80"/>
          <w:sz w:val="24"/>
          <w:szCs w:val="24"/>
        </w:rPr>
        <w:t xml:space="preserve"> contatou a Stefanini, com o intuito de </w:t>
      </w:r>
      <w:r w:rsidR="004F7ABC" w:rsidRPr="00A52981">
        <w:rPr>
          <w:rFonts w:ascii="Arial Narrow" w:hAnsi="Arial Narrow"/>
          <w:color w:val="767171" w:themeColor="background2" w:themeShade="80"/>
          <w:sz w:val="24"/>
          <w:szCs w:val="24"/>
        </w:rPr>
        <w:t xml:space="preserve">verificar </w:t>
      </w:r>
      <w:r w:rsidRPr="00A52981">
        <w:rPr>
          <w:rFonts w:ascii="Arial Narrow" w:hAnsi="Arial Narrow"/>
          <w:color w:val="767171" w:themeColor="background2" w:themeShade="80"/>
          <w:sz w:val="24"/>
          <w:szCs w:val="24"/>
        </w:rPr>
        <w:t>se a mesma poderia auxilia-l</w:t>
      </w:r>
      <w:r w:rsidR="004F7ABC" w:rsidRPr="00A52981">
        <w:rPr>
          <w:rFonts w:ascii="Arial Narrow" w:hAnsi="Arial Narrow"/>
          <w:color w:val="767171" w:themeColor="background2" w:themeShade="80"/>
          <w:sz w:val="24"/>
          <w:szCs w:val="24"/>
        </w:rPr>
        <w:t>a</w:t>
      </w:r>
      <w:r w:rsidRPr="00A52981">
        <w:rPr>
          <w:rFonts w:ascii="Arial Narrow" w:hAnsi="Arial Narrow"/>
          <w:color w:val="767171" w:themeColor="background2" w:themeShade="80"/>
          <w:sz w:val="24"/>
          <w:szCs w:val="24"/>
        </w:rPr>
        <w:t xml:space="preserve"> </w:t>
      </w:r>
      <w:r w:rsidR="004F7ABC" w:rsidRPr="00A52981">
        <w:rPr>
          <w:rFonts w:ascii="Arial Narrow" w:hAnsi="Arial Narrow"/>
          <w:color w:val="767171" w:themeColor="background2" w:themeShade="80"/>
          <w:sz w:val="24"/>
          <w:szCs w:val="24"/>
        </w:rPr>
        <w:t xml:space="preserve">na avaliação dos riscos a que está exposta, bem como se a </w:t>
      </w:r>
      <w:r w:rsidR="00992A3D" w:rsidRPr="00A52981">
        <w:rPr>
          <w:rFonts w:ascii="Arial Narrow" w:hAnsi="Arial Narrow"/>
          <w:color w:val="767171" w:themeColor="background2" w:themeShade="80"/>
          <w:sz w:val="24"/>
          <w:szCs w:val="24"/>
        </w:rPr>
        <w:t>Companhia</w:t>
      </w:r>
      <w:r w:rsidR="004F7ABC" w:rsidRPr="00A52981">
        <w:rPr>
          <w:rFonts w:ascii="Arial Narrow" w:hAnsi="Arial Narrow"/>
          <w:color w:val="767171" w:themeColor="background2" w:themeShade="80"/>
          <w:sz w:val="24"/>
          <w:szCs w:val="24"/>
        </w:rPr>
        <w:t xml:space="preserve"> está adequadamente preparada para seu enfrentamento</w:t>
      </w:r>
      <w:r w:rsidRPr="00A52981">
        <w:rPr>
          <w:rFonts w:ascii="Arial Narrow" w:hAnsi="Arial Narrow"/>
          <w:color w:val="767171" w:themeColor="background2" w:themeShade="80"/>
          <w:sz w:val="24"/>
          <w:szCs w:val="24"/>
        </w:rPr>
        <w:t>.</w:t>
      </w:r>
    </w:p>
    <w:p w:rsidR="00A41EC2" w:rsidRPr="00A41EC2" w:rsidRDefault="00A41EC2" w:rsidP="00C62C61">
      <w:pPr>
        <w:jc w:val="both"/>
        <w:rPr>
          <w:rFonts w:ascii="Arial Narrow" w:hAnsi="Arial Narrow"/>
          <w:color w:val="767171" w:themeColor="background2" w:themeShade="80"/>
          <w:sz w:val="16"/>
          <w:szCs w:val="24"/>
        </w:rPr>
      </w:pPr>
      <w:r w:rsidRPr="00A41EC2">
        <w:rPr>
          <w:rFonts w:ascii="Arial Narrow" w:hAnsi="Arial Narrow"/>
          <w:color w:val="767171" w:themeColor="background2" w:themeShade="80"/>
          <w:sz w:val="16"/>
          <w:szCs w:val="24"/>
        </w:rPr>
        <w:t>Fonte das informações sobre a Companhia: site da Cristal</w:t>
      </w:r>
    </w:p>
    <w:p w:rsidR="00033E70" w:rsidRDefault="00033E70" w:rsidP="00EC516E">
      <w:pPr>
        <w:rPr>
          <w:rFonts w:ascii="Arial Narrow" w:hAnsi="Arial Narrow"/>
          <w:b/>
          <w:bCs/>
          <w:color w:val="00B050"/>
          <w:sz w:val="28"/>
          <w:szCs w:val="28"/>
        </w:rPr>
      </w:pPr>
    </w:p>
    <w:p w:rsidR="00EC516E" w:rsidRPr="008927DF" w:rsidRDefault="00E14EF2" w:rsidP="00EC516E">
      <w:pPr>
        <w:rPr>
          <w:rFonts w:ascii="Arial Narrow" w:hAnsi="Arial Narrow"/>
          <w:color w:val="00B050"/>
        </w:rPr>
      </w:pPr>
      <w:r>
        <w:rPr>
          <w:rFonts w:ascii="Arial Narrow" w:hAnsi="Arial Narrow"/>
          <w:b/>
          <w:bCs/>
          <w:color w:val="00B050"/>
          <w:sz w:val="28"/>
          <w:szCs w:val="28"/>
        </w:rPr>
        <w:t xml:space="preserve">Snapshot da Política de Gestão de Risco da </w:t>
      </w:r>
      <w:r w:rsidR="00BE75A2" w:rsidRPr="00BE75A2">
        <w:rPr>
          <w:rFonts w:ascii="Arial Narrow" w:hAnsi="Arial Narrow"/>
          <w:b/>
          <w:bCs/>
          <w:color w:val="00B050"/>
          <w:sz w:val="28"/>
          <w:szCs w:val="28"/>
        </w:rPr>
        <w:t>Cristal</w:t>
      </w:r>
    </w:p>
    <w:p w:rsidR="00992A3D" w:rsidRPr="00A52981" w:rsidRDefault="00E14EF2" w:rsidP="00E17809">
      <w:p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 xml:space="preserve">Por ser uma organização de capital aberto, a </w:t>
      </w:r>
      <w:r w:rsidR="00992A3D" w:rsidRPr="00A52981">
        <w:rPr>
          <w:rFonts w:ascii="Arial Narrow" w:hAnsi="Arial Narrow"/>
          <w:color w:val="767171" w:themeColor="background2" w:themeShade="80"/>
          <w:sz w:val="24"/>
          <w:szCs w:val="24"/>
        </w:rPr>
        <w:t xml:space="preserve">Companhia cumpre todas as regras de governança corporativa previstas no Regulamento do Novo Mercado e a divulgação de suas informações é pautada nas mais rigorosas práticas de governança corporativa da atualidade. </w:t>
      </w:r>
    </w:p>
    <w:p w:rsidR="0071398F" w:rsidRPr="00A52981" w:rsidRDefault="00992A3D" w:rsidP="00E17809">
      <w:p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 xml:space="preserve">De acordo com este contexto a </w:t>
      </w:r>
      <w:r w:rsidR="00BE75A2" w:rsidRPr="00A52981">
        <w:rPr>
          <w:rFonts w:ascii="Arial Narrow" w:hAnsi="Arial Narrow"/>
          <w:b/>
          <w:color w:val="767171" w:themeColor="background2" w:themeShade="80"/>
          <w:sz w:val="24"/>
          <w:szCs w:val="24"/>
        </w:rPr>
        <w:t>Cristal</w:t>
      </w:r>
      <w:r w:rsidRPr="00A52981">
        <w:rPr>
          <w:rFonts w:ascii="Arial Narrow" w:hAnsi="Arial Narrow"/>
          <w:color w:val="767171" w:themeColor="background2" w:themeShade="80"/>
          <w:sz w:val="24"/>
          <w:szCs w:val="24"/>
        </w:rPr>
        <w:t xml:space="preserve"> divulga em seu site </w:t>
      </w:r>
      <w:r w:rsidR="0071398F" w:rsidRPr="00A52981">
        <w:rPr>
          <w:rFonts w:ascii="Arial Narrow" w:hAnsi="Arial Narrow"/>
          <w:color w:val="767171" w:themeColor="background2" w:themeShade="80"/>
          <w:sz w:val="24"/>
          <w:szCs w:val="24"/>
        </w:rPr>
        <w:t>os principais riscos que ela identifica estar em exposição:</w:t>
      </w:r>
    </w:p>
    <w:p w:rsidR="0071398F" w:rsidRPr="0071398F" w:rsidRDefault="008C5F47" w:rsidP="0071398F">
      <w:pPr>
        <w:keepNext/>
        <w:shd w:val="clear" w:color="auto" w:fill="FFFFFF"/>
        <w:spacing w:before="240" w:after="240" w:line="240" w:lineRule="auto"/>
        <w:textAlignment w:val="baseline"/>
        <w:outlineLvl w:val="0"/>
        <w:rPr>
          <w:rFonts w:ascii="Arial" w:eastAsia="Times New Roman" w:hAnsi="Arial" w:cs="Arial"/>
          <w:b/>
          <w:bCs/>
          <w:i/>
          <w:color w:val="00B050"/>
          <w:kern w:val="36"/>
          <w:sz w:val="24"/>
          <w:szCs w:val="38"/>
          <w:lang w:eastAsia="pt-BR"/>
        </w:rPr>
      </w:pPr>
      <w:r>
        <w:rPr>
          <w:rFonts w:ascii="Arial" w:eastAsia="Times New Roman" w:hAnsi="Arial" w:cs="Arial"/>
          <w:b/>
          <w:bCs/>
          <w:i/>
          <w:color w:val="00B050"/>
          <w:kern w:val="36"/>
          <w:sz w:val="24"/>
          <w:szCs w:val="38"/>
          <w:lang w:eastAsia="pt-BR"/>
        </w:rPr>
        <w:lastRenderedPageBreak/>
        <w:t>Principais</w:t>
      </w:r>
      <w:r w:rsidR="0071398F" w:rsidRPr="0071398F">
        <w:rPr>
          <w:rFonts w:ascii="Arial" w:eastAsia="Times New Roman" w:hAnsi="Arial" w:cs="Arial"/>
          <w:b/>
          <w:bCs/>
          <w:i/>
          <w:color w:val="00B050"/>
          <w:kern w:val="36"/>
          <w:sz w:val="24"/>
          <w:szCs w:val="38"/>
          <w:lang w:eastAsia="pt-BR"/>
        </w:rPr>
        <w:t xml:space="preserve"> Risco</w:t>
      </w:r>
      <w:r>
        <w:rPr>
          <w:rFonts w:ascii="Arial" w:eastAsia="Times New Roman" w:hAnsi="Arial" w:cs="Arial"/>
          <w:b/>
          <w:bCs/>
          <w:i/>
          <w:color w:val="00B050"/>
          <w:kern w:val="36"/>
          <w:sz w:val="24"/>
          <w:szCs w:val="38"/>
          <w:lang w:eastAsia="pt-BR"/>
        </w:rPr>
        <w:t>s</w:t>
      </w:r>
      <w:r w:rsidR="0071398F" w:rsidRPr="006F54DD">
        <w:rPr>
          <w:rFonts w:ascii="Arial" w:eastAsia="Times New Roman" w:hAnsi="Arial" w:cs="Arial"/>
          <w:b/>
          <w:bCs/>
          <w:i/>
          <w:color w:val="00B050"/>
          <w:kern w:val="36"/>
          <w:sz w:val="24"/>
          <w:szCs w:val="38"/>
          <w:lang w:eastAsia="pt-BR"/>
        </w:rPr>
        <w:t xml:space="preserve"> Identificados pela </w:t>
      </w:r>
      <w:r w:rsidR="00BE75A2" w:rsidRPr="00BE75A2">
        <w:rPr>
          <w:rFonts w:ascii="Arial" w:eastAsia="Times New Roman" w:hAnsi="Arial" w:cs="Arial"/>
          <w:b/>
          <w:bCs/>
          <w:i/>
          <w:color w:val="00B050"/>
          <w:kern w:val="36"/>
          <w:sz w:val="24"/>
          <w:szCs w:val="38"/>
          <w:lang w:eastAsia="pt-BR"/>
        </w:rPr>
        <w:t>Cristal</w:t>
      </w:r>
    </w:p>
    <w:p w:rsidR="0071398F" w:rsidRPr="00A52981" w:rsidRDefault="0071398F" w:rsidP="0071398F">
      <w:p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A Companhia tem o seu negócio influenciado por algumas variáveis que possibilitam fatores de risco que são mapeados e monitorados pela organização, conforme descritos abaixo:</w:t>
      </w:r>
    </w:p>
    <w:p w:rsidR="0071398F" w:rsidRPr="00A52981" w:rsidRDefault="0071398F" w:rsidP="0071398F">
      <w:pPr>
        <w:pStyle w:val="PargrafodaLista"/>
        <w:numPr>
          <w:ilvl w:val="0"/>
          <w:numId w:val="17"/>
        </w:num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Variação da taxa cambial, que através de uma desvalorização do real gera um aumento no custo das matérias primas cotado em dólar, bem como a logística rodoviária e portuária, tornando a competição com produtos de mercados externos, como chineses de forma desigual;</w:t>
      </w:r>
    </w:p>
    <w:p w:rsidR="0071398F" w:rsidRPr="00A52981" w:rsidRDefault="0071398F" w:rsidP="0071398F">
      <w:pPr>
        <w:pStyle w:val="PargrafodaLista"/>
        <w:numPr>
          <w:ilvl w:val="0"/>
          <w:numId w:val="17"/>
        </w:num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Elevada carga tributária nacional agregada ao gerenciamento da burocracia fiscal destes tributos, bem como os crescentes custos de transação e adequação às normas ambientais do Estado, decorrentes do processo de licenciamento ambiental de produção, também concorrem para impactar os custos de produção e, consequentemente, o seu resultado;</w:t>
      </w:r>
    </w:p>
    <w:p w:rsidR="0071398F" w:rsidRPr="00A52981" w:rsidRDefault="0071398F" w:rsidP="0071398F">
      <w:pPr>
        <w:pStyle w:val="PargrafodaLista"/>
        <w:numPr>
          <w:ilvl w:val="0"/>
          <w:numId w:val="17"/>
        </w:num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Os empregados da Companhia são representados por sindicato com forte representação no segmento químico e petroquímico. Os acordos coletivos da categoria estão sujeitos à renegociação anual. Normalmente, a taxa de inflação é utilizada como referência para discussão do reajuste salarial, inclusive para a remuneração mínima prevista nos acordos coletivos. As despesas com pessoal, incluindo encargos sociais, representam parte expressiva do custo e uma elevação acima dos índices inflacionários poderá ter um efeito prejudicial significativo sobre o negócio;</w:t>
      </w:r>
    </w:p>
    <w:p w:rsidR="0071398F" w:rsidRDefault="0071398F" w:rsidP="0071398F">
      <w:pPr>
        <w:pStyle w:val="PargrafodaLista"/>
        <w:numPr>
          <w:ilvl w:val="0"/>
          <w:numId w:val="17"/>
        </w:num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A Companhia pode ser ainda prejudicada se enfrentar greves, interrupções de trabalho ou outros transtornos trabalhistas por parte de seus empregados decorrentes de negociações ou litígios envolvendo pagamento de verbas trabalhistas.</w:t>
      </w:r>
    </w:p>
    <w:p w:rsidR="00A41EC2" w:rsidRPr="00A41EC2" w:rsidRDefault="00A41EC2" w:rsidP="00A41EC2">
      <w:pPr>
        <w:jc w:val="both"/>
        <w:rPr>
          <w:rFonts w:ascii="Arial Narrow" w:hAnsi="Arial Narrow"/>
          <w:color w:val="767171" w:themeColor="background2" w:themeShade="80"/>
          <w:sz w:val="16"/>
          <w:szCs w:val="24"/>
        </w:rPr>
      </w:pPr>
      <w:r w:rsidRPr="00A41EC2">
        <w:rPr>
          <w:rFonts w:ascii="Arial Narrow" w:hAnsi="Arial Narrow"/>
          <w:color w:val="767171" w:themeColor="background2" w:themeShade="80"/>
          <w:sz w:val="16"/>
          <w:szCs w:val="24"/>
        </w:rPr>
        <w:t>Fonte das informações sobre a Companhia: site da Cristal</w:t>
      </w:r>
    </w:p>
    <w:p w:rsidR="00A41EC2" w:rsidRPr="00A41EC2" w:rsidRDefault="00A41EC2" w:rsidP="00A41EC2">
      <w:pPr>
        <w:jc w:val="both"/>
        <w:rPr>
          <w:rFonts w:ascii="Arial Narrow" w:hAnsi="Arial Narrow"/>
          <w:color w:val="767171" w:themeColor="background2" w:themeShade="80"/>
          <w:sz w:val="24"/>
          <w:szCs w:val="24"/>
        </w:rPr>
      </w:pPr>
    </w:p>
    <w:p w:rsidR="0071398F" w:rsidRPr="0071398F" w:rsidRDefault="0071398F" w:rsidP="0071398F">
      <w:pPr>
        <w:keepNext/>
        <w:shd w:val="clear" w:color="auto" w:fill="FFFFFF"/>
        <w:spacing w:before="240" w:after="240" w:line="240" w:lineRule="auto"/>
        <w:textAlignment w:val="baseline"/>
        <w:outlineLvl w:val="0"/>
        <w:rPr>
          <w:rFonts w:ascii="Arial" w:eastAsia="Times New Roman" w:hAnsi="Arial" w:cs="Arial"/>
          <w:b/>
          <w:bCs/>
          <w:i/>
          <w:color w:val="00B050"/>
          <w:kern w:val="36"/>
          <w:sz w:val="24"/>
          <w:szCs w:val="38"/>
          <w:lang w:eastAsia="pt-BR"/>
        </w:rPr>
      </w:pPr>
      <w:r w:rsidRPr="006F54DD">
        <w:rPr>
          <w:rFonts w:ascii="Arial" w:eastAsia="Times New Roman" w:hAnsi="Arial" w:cs="Arial"/>
          <w:b/>
          <w:bCs/>
          <w:i/>
          <w:color w:val="00B050"/>
          <w:kern w:val="36"/>
          <w:sz w:val="24"/>
          <w:szCs w:val="38"/>
          <w:lang w:eastAsia="pt-BR"/>
        </w:rPr>
        <w:t>Riscos de Mercado</w:t>
      </w:r>
      <w:r w:rsidR="00A41EC2">
        <w:rPr>
          <w:rFonts w:ascii="Arial" w:eastAsia="Times New Roman" w:hAnsi="Arial" w:cs="Arial"/>
          <w:b/>
          <w:bCs/>
          <w:i/>
          <w:color w:val="00B050"/>
          <w:kern w:val="36"/>
          <w:sz w:val="24"/>
          <w:szCs w:val="38"/>
          <w:lang w:eastAsia="pt-BR"/>
        </w:rPr>
        <w:t xml:space="preserve"> Identificados pela Cristal</w:t>
      </w:r>
    </w:p>
    <w:p w:rsidR="0071398F" w:rsidRPr="00A52981" w:rsidRDefault="0071398F" w:rsidP="0071398F">
      <w:p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 xml:space="preserve">Os principais produtos produzidos pela </w:t>
      </w:r>
      <w:r w:rsidR="00BE75A2" w:rsidRPr="00A52981">
        <w:rPr>
          <w:rFonts w:ascii="Arial Narrow" w:hAnsi="Arial Narrow"/>
          <w:b/>
          <w:color w:val="767171" w:themeColor="background2" w:themeShade="80"/>
          <w:sz w:val="24"/>
          <w:szCs w:val="24"/>
        </w:rPr>
        <w:t>Cristal Pigmentos</w:t>
      </w:r>
      <w:r w:rsidRPr="00A52981">
        <w:rPr>
          <w:rFonts w:ascii="Arial Narrow" w:hAnsi="Arial Narrow"/>
          <w:color w:val="767171" w:themeColor="background2" w:themeShade="80"/>
          <w:sz w:val="24"/>
          <w:szCs w:val="24"/>
        </w:rPr>
        <w:t xml:space="preserve"> do Brasil S.A. e sua filial, a </w:t>
      </w:r>
      <w:r w:rsidR="00BE75A2" w:rsidRPr="00A52981">
        <w:rPr>
          <w:rFonts w:ascii="Arial Narrow" w:hAnsi="Arial Narrow"/>
          <w:b/>
          <w:color w:val="767171" w:themeColor="background2" w:themeShade="80"/>
          <w:sz w:val="24"/>
          <w:szCs w:val="24"/>
        </w:rPr>
        <w:t>Cristal</w:t>
      </w:r>
      <w:r w:rsidRPr="00A52981">
        <w:rPr>
          <w:rFonts w:ascii="Arial Narrow" w:hAnsi="Arial Narrow"/>
          <w:color w:val="767171" w:themeColor="background2" w:themeShade="80"/>
          <w:sz w:val="24"/>
          <w:szCs w:val="24"/>
        </w:rPr>
        <w:t xml:space="preserve"> Mineração do Brasil Ltda., são os pigmentos a base de Dióxido de Titânio, e os minérios, </w:t>
      </w:r>
      <w:proofErr w:type="spellStart"/>
      <w:r w:rsidRPr="00A52981">
        <w:rPr>
          <w:rFonts w:ascii="Arial Narrow" w:hAnsi="Arial Narrow"/>
          <w:color w:val="767171" w:themeColor="background2" w:themeShade="80"/>
          <w:sz w:val="24"/>
          <w:szCs w:val="24"/>
        </w:rPr>
        <w:t>Zirconita</w:t>
      </w:r>
      <w:proofErr w:type="spellEnd"/>
      <w:r w:rsidRPr="00A52981">
        <w:rPr>
          <w:rFonts w:ascii="Arial Narrow" w:hAnsi="Arial Narrow"/>
          <w:color w:val="767171" w:themeColor="background2" w:themeShade="80"/>
          <w:sz w:val="24"/>
          <w:szCs w:val="24"/>
        </w:rPr>
        <w:t xml:space="preserve">, Rutilo, Cianita e </w:t>
      </w:r>
      <w:proofErr w:type="spellStart"/>
      <w:r w:rsidRPr="00A52981">
        <w:rPr>
          <w:rFonts w:ascii="Arial Narrow" w:hAnsi="Arial Narrow"/>
          <w:color w:val="767171" w:themeColor="background2" w:themeShade="80"/>
          <w:sz w:val="24"/>
          <w:szCs w:val="24"/>
        </w:rPr>
        <w:t>Ilmenita</w:t>
      </w:r>
      <w:proofErr w:type="spellEnd"/>
      <w:r w:rsidRPr="00A52981">
        <w:rPr>
          <w:rFonts w:ascii="Arial Narrow" w:hAnsi="Arial Narrow"/>
          <w:color w:val="767171" w:themeColor="background2" w:themeShade="80"/>
          <w:sz w:val="24"/>
          <w:szCs w:val="24"/>
        </w:rPr>
        <w:t>. Estes produtos, uma vez transformados, são utilizados principalmente pelas indústrias de Tintas, Construção Civil, Automobilística, Plásticos e Máquinas &amp; Equipamentos.</w:t>
      </w:r>
    </w:p>
    <w:p w:rsidR="0071398F" w:rsidRPr="00A52981" w:rsidRDefault="0071398F" w:rsidP="0071398F">
      <w:p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 xml:space="preserve">A </w:t>
      </w:r>
      <w:r w:rsidR="00BE75A2" w:rsidRPr="00A52981">
        <w:rPr>
          <w:rFonts w:ascii="Arial Narrow" w:hAnsi="Arial Narrow"/>
          <w:b/>
          <w:color w:val="767171" w:themeColor="background2" w:themeShade="80"/>
          <w:sz w:val="24"/>
          <w:szCs w:val="24"/>
        </w:rPr>
        <w:t>Cristal Pigmentos</w:t>
      </w:r>
      <w:r w:rsidRPr="00A52981">
        <w:rPr>
          <w:rFonts w:ascii="Arial Narrow" w:hAnsi="Arial Narrow"/>
          <w:color w:val="767171" w:themeColor="background2" w:themeShade="80"/>
          <w:sz w:val="24"/>
          <w:szCs w:val="24"/>
        </w:rPr>
        <w:t xml:space="preserve"> não tem capacidade de produção suficiente para atender a demanda nacional e mantém uma participação no mercado de pigmentos entre 30 e 40%, a depender da demanda total em cada ano. Para os minérios, a participação pode variar de 50% até próximo dos 100%, no caso particular da </w:t>
      </w:r>
      <w:proofErr w:type="spellStart"/>
      <w:r w:rsidRPr="00A52981">
        <w:rPr>
          <w:rFonts w:ascii="Arial Narrow" w:hAnsi="Arial Narrow"/>
          <w:color w:val="767171" w:themeColor="background2" w:themeShade="80"/>
          <w:sz w:val="24"/>
          <w:szCs w:val="24"/>
        </w:rPr>
        <w:t>Ilmenita</w:t>
      </w:r>
      <w:proofErr w:type="spellEnd"/>
      <w:r w:rsidRPr="00A52981">
        <w:rPr>
          <w:rFonts w:ascii="Arial Narrow" w:hAnsi="Arial Narrow"/>
          <w:color w:val="767171" w:themeColor="background2" w:themeShade="80"/>
          <w:sz w:val="24"/>
          <w:szCs w:val="24"/>
        </w:rPr>
        <w:t>.</w:t>
      </w:r>
    </w:p>
    <w:p w:rsidR="0071398F" w:rsidRDefault="0071398F" w:rsidP="0071398F">
      <w:p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 xml:space="preserve">O restante da demanda de ambas as linhas de produtos é </w:t>
      </w:r>
      <w:proofErr w:type="gramStart"/>
      <w:r w:rsidRPr="00A52981">
        <w:rPr>
          <w:rFonts w:ascii="Arial Narrow" w:hAnsi="Arial Narrow"/>
          <w:color w:val="767171" w:themeColor="background2" w:themeShade="80"/>
          <w:sz w:val="24"/>
          <w:szCs w:val="24"/>
        </w:rPr>
        <w:t>abastecida</w:t>
      </w:r>
      <w:proofErr w:type="gramEnd"/>
      <w:r w:rsidRPr="00A52981">
        <w:rPr>
          <w:rFonts w:ascii="Arial Narrow" w:hAnsi="Arial Narrow"/>
          <w:color w:val="767171" w:themeColor="background2" w:themeShade="80"/>
          <w:sz w:val="24"/>
          <w:szCs w:val="24"/>
        </w:rPr>
        <w:t xml:space="preserve"> por provedores Internacionais com produtos cujas importações sofrem com os riscos relativos à exposição cambial, financiamento e ineficiências </w:t>
      </w:r>
      <w:r w:rsidR="00D06882">
        <w:rPr>
          <w:rFonts w:ascii="Arial Narrow" w:hAnsi="Arial Narrow"/>
          <w:color w:val="767171" w:themeColor="background2" w:themeShade="80"/>
          <w:sz w:val="24"/>
          <w:szCs w:val="24"/>
        </w:rPr>
        <w:t xml:space="preserve">logísticas. Com este comentário a </w:t>
      </w:r>
      <w:r w:rsidR="00D06882" w:rsidRPr="00D06882">
        <w:rPr>
          <w:rFonts w:ascii="Arial Narrow" w:hAnsi="Arial Narrow"/>
          <w:b/>
          <w:color w:val="767171" w:themeColor="background2" w:themeShade="80"/>
          <w:sz w:val="24"/>
          <w:szCs w:val="24"/>
        </w:rPr>
        <w:t>Cristal</w:t>
      </w:r>
      <w:r w:rsidR="00D06882">
        <w:rPr>
          <w:rFonts w:ascii="Arial Narrow" w:hAnsi="Arial Narrow"/>
          <w:color w:val="767171" w:themeColor="background2" w:themeShade="80"/>
          <w:sz w:val="24"/>
          <w:szCs w:val="24"/>
        </w:rPr>
        <w:t xml:space="preserve"> informa </w:t>
      </w:r>
      <w:r w:rsidRPr="00A52981">
        <w:rPr>
          <w:rFonts w:ascii="Arial Narrow" w:hAnsi="Arial Narrow"/>
          <w:color w:val="767171" w:themeColor="background2" w:themeShade="80"/>
          <w:sz w:val="24"/>
          <w:szCs w:val="24"/>
        </w:rPr>
        <w:t xml:space="preserve">que mesmo se houver uma retração e ou turbulência na demanda por produtos dos setores mencionados, </w:t>
      </w:r>
      <w:r w:rsidR="00D06882">
        <w:rPr>
          <w:rFonts w:ascii="Arial Narrow" w:hAnsi="Arial Narrow"/>
          <w:color w:val="767171" w:themeColor="background2" w:themeShade="80"/>
          <w:sz w:val="24"/>
          <w:szCs w:val="24"/>
        </w:rPr>
        <w:t xml:space="preserve">que ela está </w:t>
      </w:r>
      <w:r w:rsidRPr="00A52981">
        <w:rPr>
          <w:rFonts w:ascii="Arial Narrow" w:hAnsi="Arial Narrow"/>
          <w:color w:val="767171" w:themeColor="background2" w:themeShade="80"/>
          <w:sz w:val="24"/>
          <w:szCs w:val="24"/>
        </w:rPr>
        <w:t>razoavelmente protegid</w:t>
      </w:r>
      <w:r w:rsidR="00D06882">
        <w:rPr>
          <w:rFonts w:ascii="Arial Narrow" w:hAnsi="Arial Narrow"/>
          <w:color w:val="767171" w:themeColor="background2" w:themeShade="80"/>
          <w:sz w:val="24"/>
          <w:szCs w:val="24"/>
        </w:rPr>
        <w:t>a</w:t>
      </w:r>
      <w:r w:rsidRPr="00A52981">
        <w:rPr>
          <w:rFonts w:ascii="Arial Narrow" w:hAnsi="Arial Narrow"/>
          <w:color w:val="767171" w:themeColor="background2" w:themeShade="80"/>
          <w:sz w:val="24"/>
          <w:szCs w:val="24"/>
        </w:rPr>
        <w:t xml:space="preserve"> quanto a</w:t>
      </w:r>
      <w:r w:rsidR="00D06882">
        <w:rPr>
          <w:rFonts w:ascii="Arial Narrow" w:hAnsi="Arial Narrow"/>
          <w:color w:val="767171" w:themeColor="background2" w:themeShade="80"/>
          <w:sz w:val="24"/>
          <w:szCs w:val="24"/>
        </w:rPr>
        <w:t xml:space="preserve"> volumes, porém exposta</w:t>
      </w:r>
      <w:r w:rsidRPr="00A52981">
        <w:rPr>
          <w:rFonts w:ascii="Arial Narrow" w:hAnsi="Arial Narrow"/>
          <w:color w:val="767171" w:themeColor="background2" w:themeShade="80"/>
          <w:sz w:val="24"/>
          <w:szCs w:val="24"/>
        </w:rPr>
        <w:t xml:space="preserve"> </w:t>
      </w:r>
      <w:r w:rsidR="00D06882">
        <w:rPr>
          <w:rFonts w:ascii="Arial Narrow" w:hAnsi="Arial Narrow"/>
          <w:color w:val="767171" w:themeColor="background2" w:themeShade="80"/>
          <w:sz w:val="24"/>
          <w:szCs w:val="24"/>
        </w:rPr>
        <w:t>a</w:t>
      </w:r>
      <w:r w:rsidRPr="00A52981">
        <w:rPr>
          <w:rFonts w:ascii="Arial Narrow" w:hAnsi="Arial Narrow"/>
          <w:color w:val="767171" w:themeColor="background2" w:themeShade="80"/>
          <w:sz w:val="24"/>
          <w:szCs w:val="24"/>
        </w:rPr>
        <w:t xml:space="preserve"> volatilidade dos preços.</w:t>
      </w:r>
    </w:p>
    <w:p w:rsidR="00A41EC2" w:rsidRPr="00A52981" w:rsidRDefault="00A41EC2" w:rsidP="0071398F">
      <w:pPr>
        <w:jc w:val="both"/>
        <w:rPr>
          <w:rFonts w:ascii="Arial Narrow" w:hAnsi="Arial Narrow"/>
          <w:color w:val="767171" w:themeColor="background2" w:themeShade="80"/>
          <w:sz w:val="24"/>
          <w:szCs w:val="24"/>
        </w:rPr>
      </w:pPr>
    </w:p>
    <w:p w:rsidR="0071398F" w:rsidRPr="00A52981" w:rsidRDefault="0071398F" w:rsidP="0071398F">
      <w:p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lastRenderedPageBreak/>
        <w:t xml:space="preserve">Portanto, a </w:t>
      </w:r>
      <w:r w:rsidR="00BE75A2" w:rsidRPr="00A52981">
        <w:rPr>
          <w:rFonts w:ascii="Arial Narrow" w:hAnsi="Arial Narrow"/>
          <w:b/>
          <w:color w:val="767171" w:themeColor="background2" w:themeShade="80"/>
          <w:sz w:val="24"/>
          <w:szCs w:val="24"/>
        </w:rPr>
        <w:t>Cristal</w:t>
      </w:r>
      <w:r w:rsidRPr="00A52981">
        <w:rPr>
          <w:rFonts w:ascii="Arial Narrow" w:hAnsi="Arial Narrow"/>
          <w:color w:val="767171" w:themeColor="background2" w:themeShade="80"/>
          <w:sz w:val="24"/>
          <w:szCs w:val="24"/>
        </w:rPr>
        <w:t>, como único produtor nacional dos pigmentos a base Dióxido de Titânio, e detendo mais de 90% da produção dos minérios aos quais a Companhia se dedica, os riscos de mercado são associados mais a fatores externos do que aos internos.</w:t>
      </w:r>
    </w:p>
    <w:p w:rsidR="0071398F" w:rsidRPr="00A52981" w:rsidRDefault="0071398F" w:rsidP="0071398F">
      <w:p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 xml:space="preserve">A situação de excesso de estoques de produtos concorrentes na Europa, Ásia e Norte América, e a necessidade de </w:t>
      </w:r>
      <w:r w:rsidR="00ED1EF0">
        <w:rPr>
          <w:rFonts w:ascii="Arial Narrow" w:hAnsi="Arial Narrow"/>
          <w:color w:val="767171" w:themeColor="background2" w:themeShade="80"/>
          <w:sz w:val="24"/>
          <w:szCs w:val="24"/>
        </w:rPr>
        <w:t>seus</w:t>
      </w:r>
      <w:r w:rsidRPr="00A52981">
        <w:rPr>
          <w:rFonts w:ascii="Arial Narrow" w:hAnsi="Arial Narrow"/>
          <w:color w:val="767171" w:themeColor="background2" w:themeShade="80"/>
          <w:sz w:val="24"/>
          <w:szCs w:val="24"/>
        </w:rPr>
        <w:t xml:space="preserve"> concorrentes em equilibrar seus fluxos de caixa, podem aumentar expressivamente a oferta de produtos e, consequentemente, pressionar os preços para baixo. </w:t>
      </w:r>
    </w:p>
    <w:p w:rsidR="0071398F" w:rsidRDefault="0071398F" w:rsidP="0071398F">
      <w:p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Ainda, políticas governamentais de incentivo de energia, das tarifas administradas, de câmbio e juros também tem um peso relativo na competitividade da indústria nacional. Desta forma, com base nas oscilações e volatilidades vividas, particularmente nos anos de 2009, 2012 e 2013, concluí</w:t>
      </w:r>
      <w:bookmarkStart w:id="0" w:name="_GoBack"/>
      <w:bookmarkEnd w:id="0"/>
      <w:r w:rsidRPr="00A52981">
        <w:rPr>
          <w:rFonts w:ascii="Arial Narrow" w:hAnsi="Arial Narrow"/>
          <w:color w:val="767171" w:themeColor="background2" w:themeShade="80"/>
          <w:sz w:val="24"/>
          <w:szCs w:val="24"/>
        </w:rPr>
        <w:t xml:space="preserve"> que os resultados da Companhia sofrem um risco moderado-alto tanto no que tange a volumes quanto a preços.</w:t>
      </w:r>
    </w:p>
    <w:p w:rsidR="00A41EC2" w:rsidRPr="00A41EC2" w:rsidRDefault="00A41EC2" w:rsidP="00A41EC2">
      <w:pPr>
        <w:jc w:val="both"/>
        <w:rPr>
          <w:rFonts w:ascii="Arial Narrow" w:hAnsi="Arial Narrow"/>
          <w:color w:val="767171" w:themeColor="background2" w:themeShade="80"/>
          <w:sz w:val="16"/>
          <w:szCs w:val="24"/>
        </w:rPr>
      </w:pPr>
      <w:r w:rsidRPr="00A41EC2">
        <w:rPr>
          <w:rFonts w:ascii="Arial Narrow" w:hAnsi="Arial Narrow"/>
          <w:color w:val="767171" w:themeColor="background2" w:themeShade="80"/>
          <w:sz w:val="16"/>
          <w:szCs w:val="24"/>
        </w:rPr>
        <w:t>Fonte das informações sobre a Companhia: site da Cristal</w:t>
      </w:r>
    </w:p>
    <w:p w:rsidR="00A41EC2" w:rsidRPr="00A52981" w:rsidRDefault="00A41EC2" w:rsidP="0071398F">
      <w:pPr>
        <w:jc w:val="both"/>
        <w:rPr>
          <w:rFonts w:ascii="Arial Narrow" w:hAnsi="Arial Narrow"/>
          <w:color w:val="767171" w:themeColor="background2" w:themeShade="80"/>
          <w:sz w:val="24"/>
          <w:szCs w:val="24"/>
        </w:rPr>
      </w:pPr>
    </w:p>
    <w:p w:rsidR="003B422B" w:rsidRPr="0071398F" w:rsidRDefault="003B422B" w:rsidP="003B422B">
      <w:pPr>
        <w:keepNext/>
        <w:shd w:val="clear" w:color="auto" w:fill="FFFFFF"/>
        <w:spacing w:before="240" w:after="240" w:line="240" w:lineRule="auto"/>
        <w:textAlignment w:val="baseline"/>
        <w:outlineLvl w:val="0"/>
        <w:rPr>
          <w:rFonts w:ascii="Arial" w:eastAsia="Times New Roman" w:hAnsi="Arial" w:cs="Arial"/>
          <w:b/>
          <w:bCs/>
          <w:i/>
          <w:color w:val="00B050"/>
          <w:kern w:val="36"/>
          <w:sz w:val="24"/>
          <w:szCs w:val="38"/>
          <w:lang w:eastAsia="pt-BR"/>
        </w:rPr>
      </w:pPr>
      <w:r w:rsidRPr="006F54DD">
        <w:rPr>
          <w:rFonts w:ascii="Arial" w:eastAsia="Times New Roman" w:hAnsi="Arial" w:cs="Arial"/>
          <w:b/>
          <w:bCs/>
          <w:i/>
          <w:color w:val="00B050"/>
          <w:kern w:val="36"/>
          <w:sz w:val="24"/>
          <w:szCs w:val="38"/>
          <w:lang w:eastAsia="pt-BR"/>
        </w:rPr>
        <w:t>Política de Gerenciamento de Risco</w:t>
      </w:r>
    </w:p>
    <w:p w:rsidR="00992A3D" w:rsidRPr="00A52981" w:rsidRDefault="006F54DD" w:rsidP="00E17809">
      <w:p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 xml:space="preserve">Em complementação, no tratamento do tema, </w:t>
      </w:r>
      <w:r w:rsidR="00A4099E" w:rsidRPr="00A52981">
        <w:rPr>
          <w:rFonts w:ascii="Arial Narrow" w:hAnsi="Arial Narrow"/>
          <w:color w:val="767171" w:themeColor="background2" w:themeShade="80"/>
          <w:sz w:val="24"/>
          <w:szCs w:val="24"/>
        </w:rPr>
        <w:t xml:space="preserve">a </w:t>
      </w:r>
      <w:r w:rsidR="00BE75A2" w:rsidRPr="00A52981">
        <w:rPr>
          <w:rFonts w:ascii="Arial Narrow" w:hAnsi="Arial Narrow"/>
          <w:b/>
          <w:color w:val="767171" w:themeColor="background2" w:themeShade="80"/>
          <w:sz w:val="24"/>
          <w:szCs w:val="24"/>
        </w:rPr>
        <w:t>Cristal</w:t>
      </w:r>
      <w:r w:rsidRPr="00A52981">
        <w:rPr>
          <w:rFonts w:ascii="Arial Narrow" w:hAnsi="Arial Narrow"/>
          <w:color w:val="767171" w:themeColor="background2" w:themeShade="80"/>
          <w:sz w:val="24"/>
          <w:szCs w:val="24"/>
        </w:rPr>
        <w:t xml:space="preserve"> também divulga sua Política de Gerenciamento de Risco, </w:t>
      </w:r>
      <w:r w:rsidR="00992A3D" w:rsidRPr="00A52981">
        <w:rPr>
          <w:rFonts w:ascii="Arial Narrow" w:hAnsi="Arial Narrow"/>
          <w:color w:val="767171" w:themeColor="background2" w:themeShade="80"/>
          <w:sz w:val="24"/>
          <w:szCs w:val="24"/>
        </w:rPr>
        <w:t>a</w:t>
      </w:r>
      <w:r w:rsidRPr="00A52981">
        <w:rPr>
          <w:rFonts w:ascii="Arial Narrow" w:hAnsi="Arial Narrow"/>
          <w:color w:val="767171" w:themeColor="background2" w:themeShade="80"/>
          <w:sz w:val="24"/>
          <w:szCs w:val="24"/>
        </w:rPr>
        <w:t xml:space="preserve"> qual é muito bem concebida e documentada, contemplando, de forma adequada, praticamente todas as recomendações emanadas pelas normas e boas práticas de mercado</w:t>
      </w:r>
      <w:r w:rsidR="000506D3" w:rsidRPr="00A52981">
        <w:rPr>
          <w:rFonts w:ascii="Arial Narrow" w:hAnsi="Arial Narrow"/>
          <w:color w:val="767171" w:themeColor="background2" w:themeShade="80"/>
          <w:sz w:val="24"/>
          <w:szCs w:val="24"/>
        </w:rPr>
        <w:t xml:space="preserve">, bem como os diversos tipos de risco a que uma Companhia de seu segmento de negócio está sujeita, conforme </w:t>
      </w:r>
      <w:r w:rsidR="00904464">
        <w:rPr>
          <w:rFonts w:ascii="Arial Narrow" w:hAnsi="Arial Narrow"/>
          <w:color w:val="767171" w:themeColor="background2" w:themeShade="80"/>
          <w:sz w:val="24"/>
          <w:szCs w:val="24"/>
        </w:rPr>
        <w:t xml:space="preserve">descrição </w:t>
      </w:r>
      <w:r w:rsidR="000506D3" w:rsidRPr="00A52981">
        <w:rPr>
          <w:rFonts w:ascii="Arial Narrow" w:hAnsi="Arial Narrow"/>
          <w:color w:val="767171" w:themeColor="background2" w:themeShade="80"/>
          <w:sz w:val="24"/>
          <w:szCs w:val="24"/>
        </w:rPr>
        <w:t xml:space="preserve">apresentada </w:t>
      </w:r>
      <w:r w:rsidR="00904464">
        <w:rPr>
          <w:rFonts w:ascii="Arial Narrow" w:hAnsi="Arial Narrow"/>
          <w:color w:val="767171" w:themeColor="background2" w:themeShade="80"/>
          <w:sz w:val="24"/>
          <w:szCs w:val="24"/>
        </w:rPr>
        <w:t>n</w:t>
      </w:r>
      <w:r w:rsidR="000506D3" w:rsidRPr="00A52981">
        <w:rPr>
          <w:rFonts w:ascii="Arial Narrow" w:hAnsi="Arial Narrow"/>
          <w:color w:val="767171" w:themeColor="background2" w:themeShade="80"/>
          <w:sz w:val="24"/>
          <w:szCs w:val="24"/>
        </w:rPr>
        <w:t xml:space="preserve">a </w:t>
      </w:r>
      <w:r w:rsidR="00904464">
        <w:rPr>
          <w:rFonts w:ascii="Arial Narrow" w:hAnsi="Arial Narrow"/>
          <w:color w:val="767171" w:themeColor="background2" w:themeShade="80"/>
          <w:sz w:val="24"/>
          <w:szCs w:val="24"/>
        </w:rPr>
        <w:t xml:space="preserve">tabela a </w:t>
      </w:r>
      <w:r w:rsidR="000506D3" w:rsidRPr="00A52981">
        <w:rPr>
          <w:rFonts w:ascii="Arial Narrow" w:hAnsi="Arial Narrow"/>
          <w:color w:val="767171" w:themeColor="background2" w:themeShade="80"/>
          <w:sz w:val="24"/>
          <w:szCs w:val="24"/>
        </w:rPr>
        <w:t>seguir</w:t>
      </w:r>
      <w:r w:rsidR="00904464">
        <w:rPr>
          <w:rFonts w:ascii="Arial Narrow" w:hAnsi="Arial Narrow"/>
          <w:color w:val="767171" w:themeColor="background2" w:themeShade="80"/>
          <w:sz w:val="24"/>
          <w:szCs w:val="24"/>
        </w:rPr>
        <w:t>, divulgada no site da Companhia</w:t>
      </w:r>
      <w:r w:rsidR="000506D3" w:rsidRPr="00A52981">
        <w:rPr>
          <w:rFonts w:ascii="Arial Narrow" w:hAnsi="Arial Narrow"/>
          <w:color w:val="767171" w:themeColor="background2" w:themeShade="80"/>
          <w:sz w:val="24"/>
          <w:szCs w:val="24"/>
        </w:rPr>
        <w:t>.</w:t>
      </w:r>
    </w:p>
    <w:p w:rsidR="008C5F47" w:rsidRDefault="008C5F47" w:rsidP="000506D3">
      <w:pPr>
        <w:jc w:val="center"/>
        <w:rPr>
          <w:rFonts w:ascii="Arial Narrow" w:hAnsi="Arial Narrow"/>
          <w:sz w:val="24"/>
          <w:szCs w:val="24"/>
        </w:rPr>
      </w:pPr>
      <w:r>
        <w:rPr>
          <w:noProof/>
          <w:lang w:eastAsia="pt-BR"/>
        </w:rPr>
        <w:drawing>
          <wp:inline distT="0" distB="0" distL="0" distR="0" wp14:anchorId="7333F17F" wp14:editId="1A5EE175">
            <wp:extent cx="3486150" cy="40290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6150" cy="4029075"/>
                    </a:xfrm>
                    <a:prstGeom prst="rect">
                      <a:avLst/>
                    </a:prstGeom>
                  </pic:spPr>
                </pic:pic>
              </a:graphicData>
            </a:graphic>
          </wp:inline>
        </w:drawing>
      </w:r>
    </w:p>
    <w:p w:rsidR="00E25212" w:rsidRPr="00C82095" w:rsidRDefault="00C82095" w:rsidP="000506D3">
      <w:pPr>
        <w:jc w:val="center"/>
        <w:rPr>
          <w:rFonts w:ascii="Arial Narrow" w:hAnsi="Arial Narrow"/>
          <w:sz w:val="18"/>
          <w:szCs w:val="24"/>
        </w:rPr>
      </w:pPr>
      <w:r w:rsidRPr="00C82095">
        <w:rPr>
          <w:rFonts w:ascii="Arial Narrow" w:hAnsi="Arial Narrow"/>
          <w:sz w:val="18"/>
          <w:szCs w:val="24"/>
        </w:rPr>
        <w:t>Tabela extraída da Política de Gerenciamento de Risco da Cristal</w:t>
      </w:r>
    </w:p>
    <w:p w:rsidR="000506D3" w:rsidRDefault="000506D3" w:rsidP="00E17809">
      <w:pPr>
        <w:jc w:val="both"/>
        <w:rPr>
          <w:rFonts w:ascii="Arial Narrow" w:hAnsi="Arial Narrow"/>
          <w:b/>
          <w:bCs/>
          <w:color w:val="00B050"/>
          <w:sz w:val="28"/>
          <w:szCs w:val="28"/>
        </w:rPr>
      </w:pPr>
    </w:p>
    <w:p w:rsidR="000506D3" w:rsidRPr="000506D3" w:rsidRDefault="000506D3" w:rsidP="00A4099E">
      <w:pPr>
        <w:keepNext/>
        <w:jc w:val="both"/>
        <w:rPr>
          <w:rFonts w:ascii="Arial Narrow" w:hAnsi="Arial Narrow"/>
          <w:b/>
          <w:bCs/>
          <w:color w:val="00B050"/>
          <w:sz w:val="28"/>
          <w:szCs w:val="28"/>
        </w:rPr>
      </w:pPr>
      <w:r w:rsidRPr="000506D3">
        <w:rPr>
          <w:rFonts w:ascii="Arial Narrow" w:hAnsi="Arial Narrow"/>
          <w:b/>
          <w:bCs/>
          <w:color w:val="00B050"/>
          <w:sz w:val="28"/>
          <w:szCs w:val="28"/>
        </w:rPr>
        <w:t>Entendimento da Atuação Esperada da Stefanini</w:t>
      </w:r>
    </w:p>
    <w:p w:rsidR="000506D3" w:rsidRPr="006560D1" w:rsidRDefault="00B71962" w:rsidP="00E17809">
      <w:p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Em consonância com esta situação, a Stefanini entende como ser esperada sua contribuição na realização de um levantamento de informações</w:t>
      </w:r>
      <w:r w:rsidR="00A41EC2">
        <w:rPr>
          <w:rFonts w:ascii="Arial Narrow" w:hAnsi="Arial Narrow"/>
          <w:color w:val="767171" w:themeColor="background2" w:themeShade="80"/>
          <w:sz w:val="24"/>
          <w:szCs w:val="24"/>
        </w:rPr>
        <w:t>,</w:t>
      </w:r>
      <w:r w:rsidR="00E25212">
        <w:rPr>
          <w:rFonts w:ascii="Arial Narrow" w:hAnsi="Arial Narrow"/>
          <w:color w:val="767171" w:themeColor="background2" w:themeShade="80"/>
          <w:sz w:val="24"/>
          <w:szCs w:val="24"/>
        </w:rPr>
        <w:t xml:space="preserve"> </w:t>
      </w:r>
      <w:r w:rsidRPr="00A52981">
        <w:rPr>
          <w:rFonts w:ascii="Arial Narrow" w:hAnsi="Arial Narrow"/>
          <w:color w:val="767171" w:themeColor="background2" w:themeShade="80"/>
          <w:sz w:val="24"/>
          <w:szCs w:val="24"/>
        </w:rPr>
        <w:t xml:space="preserve">diagnóstico </w:t>
      </w:r>
      <w:r w:rsidR="00A41EC2">
        <w:rPr>
          <w:rFonts w:ascii="Arial Narrow" w:hAnsi="Arial Narrow"/>
          <w:color w:val="767171" w:themeColor="background2" w:themeShade="80"/>
          <w:sz w:val="24"/>
          <w:szCs w:val="24"/>
        </w:rPr>
        <w:t>e recomendações para</w:t>
      </w:r>
      <w:r w:rsidRPr="00A52981">
        <w:rPr>
          <w:rFonts w:ascii="Arial Narrow" w:hAnsi="Arial Narrow"/>
          <w:color w:val="767171" w:themeColor="background2" w:themeShade="80"/>
          <w:sz w:val="24"/>
          <w:szCs w:val="24"/>
        </w:rPr>
        <w:t xml:space="preserve"> a Gestão de Risco da </w:t>
      </w:r>
      <w:r w:rsidR="00BE75A2" w:rsidRPr="00A52981">
        <w:rPr>
          <w:rFonts w:ascii="Arial Narrow" w:hAnsi="Arial Narrow"/>
          <w:b/>
          <w:color w:val="767171" w:themeColor="background2" w:themeShade="80"/>
          <w:sz w:val="24"/>
          <w:szCs w:val="24"/>
        </w:rPr>
        <w:t>Cristal</w:t>
      </w:r>
      <w:r w:rsidRPr="00A52981">
        <w:rPr>
          <w:rFonts w:ascii="Arial Narrow" w:hAnsi="Arial Narrow"/>
          <w:color w:val="767171" w:themeColor="background2" w:themeShade="80"/>
          <w:sz w:val="24"/>
          <w:szCs w:val="24"/>
        </w:rPr>
        <w:t>, envolvendo</w:t>
      </w:r>
      <w:r w:rsidR="00904464">
        <w:rPr>
          <w:rFonts w:ascii="Arial Narrow" w:hAnsi="Arial Narrow"/>
          <w:color w:val="767171" w:themeColor="background2" w:themeShade="80"/>
          <w:sz w:val="24"/>
          <w:szCs w:val="24"/>
        </w:rPr>
        <w:t>,</w:t>
      </w:r>
      <w:r w:rsidRPr="00A52981">
        <w:rPr>
          <w:rFonts w:ascii="Arial Narrow" w:hAnsi="Arial Narrow"/>
          <w:color w:val="767171" w:themeColor="background2" w:themeShade="80"/>
          <w:sz w:val="24"/>
          <w:szCs w:val="24"/>
        </w:rPr>
        <w:t xml:space="preserve"> </w:t>
      </w:r>
      <w:r w:rsidR="00904464">
        <w:rPr>
          <w:rFonts w:ascii="Arial Narrow" w:hAnsi="Arial Narrow"/>
          <w:color w:val="767171" w:themeColor="background2" w:themeShade="80"/>
          <w:sz w:val="24"/>
          <w:szCs w:val="24"/>
        </w:rPr>
        <w:t xml:space="preserve">para tanto, </w:t>
      </w:r>
      <w:r w:rsidRPr="00A52981">
        <w:rPr>
          <w:rFonts w:ascii="Arial Narrow" w:hAnsi="Arial Narrow"/>
          <w:color w:val="767171" w:themeColor="background2" w:themeShade="80"/>
          <w:sz w:val="24"/>
          <w:szCs w:val="24"/>
        </w:rPr>
        <w:t xml:space="preserve">a </w:t>
      </w:r>
      <w:r w:rsidR="00904464">
        <w:rPr>
          <w:rFonts w:ascii="Arial Narrow" w:hAnsi="Arial Narrow"/>
          <w:color w:val="767171" w:themeColor="background2" w:themeShade="80"/>
          <w:sz w:val="24"/>
          <w:szCs w:val="24"/>
        </w:rPr>
        <w:t>avaliação</w:t>
      </w:r>
      <w:r w:rsidR="00286E71" w:rsidRPr="00A52981">
        <w:rPr>
          <w:rFonts w:ascii="Arial Narrow" w:hAnsi="Arial Narrow"/>
          <w:color w:val="767171" w:themeColor="background2" w:themeShade="80"/>
          <w:sz w:val="24"/>
          <w:szCs w:val="24"/>
        </w:rPr>
        <w:t xml:space="preserve"> </w:t>
      </w:r>
      <w:r w:rsidRPr="00A52981">
        <w:rPr>
          <w:rFonts w:ascii="Arial Narrow" w:hAnsi="Arial Narrow"/>
          <w:color w:val="767171" w:themeColor="background2" w:themeShade="80"/>
          <w:sz w:val="24"/>
          <w:szCs w:val="24"/>
        </w:rPr>
        <w:t>d</w:t>
      </w:r>
      <w:r w:rsidR="00286E71" w:rsidRPr="00A52981">
        <w:rPr>
          <w:rFonts w:ascii="Arial Narrow" w:hAnsi="Arial Narrow"/>
          <w:color w:val="767171" w:themeColor="background2" w:themeShade="80"/>
          <w:sz w:val="24"/>
          <w:szCs w:val="24"/>
        </w:rPr>
        <w:t>os</w:t>
      </w:r>
      <w:r w:rsidRPr="00A52981">
        <w:rPr>
          <w:rFonts w:ascii="Arial Narrow" w:hAnsi="Arial Narrow"/>
          <w:color w:val="767171" w:themeColor="background2" w:themeShade="80"/>
          <w:sz w:val="24"/>
          <w:szCs w:val="24"/>
        </w:rPr>
        <w:t xml:space="preserve"> seguintes principais </w:t>
      </w:r>
      <w:r w:rsidR="00286E71" w:rsidRPr="00A52981">
        <w:rPr>
          <w:rFonts w:ascii="Arial Narrow" w:hAnsi="Arial Narrow"/>
          <w:color w:val="767171" w:themeColor="background2" w:themeShade="80"/>
          <w:sz w:val="24"/>
          <w:szCs w:val="24"/>
        </w:rPr>
        <w:t>fatores que impactam esta Gestão</w:t>
      </w:r>
      <w:r w:rsidR="006560D1">
        <w:rPr>
          <w:rFonts w:ascii="Arial Narrow" w:hAnsi="Arial Narrow"/>
          <w:color w:val="767171" w:themeColor="background2" w:themeShade="80"/>
          <w:sz w:val="24"/>
          <w:szCs w:val="24"/>
        </w:rPr>
        <w:t xml:space="preserve">, considerando </w:t>
      </w:r>
      <w:r w:rsidR="006560D1" w:rsidRPr="00A52981">
        <w:rPr>
          <w:rFonts w:ascii="Arial Narrow" w:hAnsi="Arial Narrow"/>
          <w:color w:val="767171" w:themeColor="background2" w:themeShade="80"/>
          <w:sz w:val="24"/>
          <w:szCs w:val="24"/>
        </w:rPr>
        <w:t>a</w:t>
      </w:r>
      <w:r w:rsidR="006560D1">
        <w:rPr>
          <w:rFonts w:ascii="Arial Narrow" w:hAnsi="Arial Narrow"/>
          <w:color w:val="767171" w:themeColor="background2" w:themeShade="80"/>
          <w:sz w:val="24"/>
          <w:szCs w:val="24"/>
        </w:rPr>
        <w:t xml:space="preserve">s </w:t>
      </w:r>
      <w:r w:rsidR="00904464">
        <w:rPr>
          <w:rFonts w:ascii="Arial Narrow" w:hAnsi="Arial Narrow"/>
          <w:color w:val="767171" w:themeColor="background2" w:themeShade="80"/>
          <w:sz w:val="24"/>
          <w:szCs w:val="24"/>
        </w:rPr>
        <w:t>unidades</w:t>
      </w:r>
      <w:r w:rsidR="006560D1">
        <w:rPr>
          <w:rFonts w:ascii="Arial Narrow" w:hAnsi="Arial Narrow"/>
          <w:color w:val="767171" w:themeColor="background2" w:themeShade="80"/>
          <w:sz w:val="24"/>
          <w:szCs w:val="24"/>
        </w:rPr>
        <w:t xml:space="preserve"> </w:t>
      </w:r>
      <w:r w:rsidR="006560D1" w:rsidRPr="00A52981">
        <w:rPr>
          <w:rFonts w:ascii="Arial Narrow" w:hAnsi="Arial Narrow"/>
          <w:color w:val="767171" w:themeColor="background2" w:themeShade="80"/>
          <w:sz w:val="24"/>
          <w:szCs w:val="24"/>
        </w:rPr>
        <w:t xml:space="preserve">Mina do </w:t>
      </w:r>
      <w:proofErr w:type="spellStart"/>
      <w:r w:rsidR="006560D1" w:rsidRPr="00A52981">
        <w:rPr>
          <w:rFonts w:ascii="Arial Narrow" w:hAnsi="Arial Narrow"/>
          <w:color w:val="767171" w:themeColor="background2" w:themeShade="80"/>
          <w:sz w:val="24"/>
          <w:szCs w:val="24"/>
        </w:rPr>
        <w:t>Guajú</w:t>
      </w:r>
      <w:proofErr w:type="spellEnd"/>
      <w:r w:rsidR="006560D1" w:rsidRPr="00A52981">
        <w:rPr>
          <w:rFonts w:ascii="Arial Narrow" w:hAnsi="Arial Narrow"/>
          <w:color w:val="767171" w:themeColor="background2" w:themeShade="80"/>
          <w:sz w:val="24"/>
          <w:szCs w:val="24"/>
        </w:rPr>
        <w:t xml:space="preserve">, </w:t>
      </w:r>
      <w:r w:rsidR="00904464">
        <w:rPr>
          <w:rFonts w:ascii="Arial Narrow" w:hAnsi="Arial Narrow"/>
          <w:color w:val="767171" w:themeColor="background2" w:themeShade="80"/>
          <w:sz w:val="24"/>
          <w:szCs w:val="24"/>
        </w:rPr>
        <w:t>F</w:t>
      </w:r>
      <w:r w:rsidR="006560D1" w:rsidRPr="00A52981">
        <w:rPr>
          <w:rFonts w:ascii="Arial Narrow" w:hAnsi="Arial Narrow"/>
          <w:color w:val="767171" w:themeColor="background2" w:themeShade="80"/>
          <w:sz w:val="24"/>
          <w:szCs w:val="24"/>
        </w:rPr>
        <w:t xml:space="preserve">ábrica </w:t>
      </w:r>
      <w:r w:rsidR="006560D1">
        <w:rPr>
          <w:rFonts w:ascii="Arial Narrow" w:hAnsi="Arial Narrow"/>
          <w:color w:val="767171" w:themeColor="background2" w:themeShade="80"/>
          <w:sz w:val="24"/>
          <w:szCs w:val="24"/>
        </w:rPr>
        <w:t>de</w:t>
      </w:r>
      <w:r w:rsidR="006560D1" w:rsidRPr="00A52981">
        <w:rPr>
          <w:rFonts w:ascii="Arial Narrow" w:hAnsi="Arial Narrow"/>
          <w:color w:val="767171" w:themeColor="background2" w:themeShade="80"/>
          <w:sz w:val="24"/>
          <w:szCs w:val="24"/>
        </w:rPr>
        <w:t xml:space="preserve"> Camaçari e o </w:t>
      </w:r>
      <w:r w:rsidR="00904464">
        <w:rPr>
          <w:rFonts w:ascii="Arial Narrow" w:hAnsi="Arial Narrow"/>
          <w:color w:val="767171" w:themeColor="background2" w:themeShade="80"/>
          <w:sz w:val="24"/>
          <w:szCs w:val="24"/>
        </w:rPr>
        <w:t>E</w:t>
      </w:r>
      <w:r w:rsidR="006560D1" w:rsidRPr="00A52981">
        <w:rPr>
          <w:rFonts w:ascii="Arial Narrow" w:hAnsi="Arial Narrow"/>
          <w:color w:val="767171" w:themeColor="background2" w:themeShade="80"/>
          <w:sz w:val="24"/>
          <w:szCs w:val="24"/>
        </w:rPr>
        <w:t xml:space="preserve">scritório </w:t>
      </w:r>
      <w:r w:rsidR="00904464">
        <w:rPr>
          <w:rFonts w:ascii="Arial Narrow" w:hAnsi="Arial Narrow"/>
          <w:color w:val="767171" w:themeColor="background2" w:themeShade="80"/>
          <w:sz w:val="24"/>
          <w:szCs w:val="24"/>
        </w:rPr>
        <w:t>C</w:t>
      </w:r>
      <w:r w:rsidR="006560D1" w:rsidRPr="00A52981">
        <w:rPr>
          <w:rFonts w:ascii="Arial Narrow" w:hAnsi="Arial Narrow"/>
          <w:color w:val="767171" w:themeColor="background2" w:themeShade="80"/>
          <w:sz w:val="24"/>
          <w:szCs w:val="24"/>
        </w:rPr>
        <w:t>omercial de São Paulo</w:t>
      </w:r>
      <w:r w:rsidR="006560D1">
        <w:rPr>
          <w:rFonts w:ascii="Arial Narrow" w:hAnsi="Arial Narrow"/>
          <w:color w:val="767171" w:themeColor="background2" w:themeShade="80"/>
          <w:sz w:val="24"/>
          <w:szCs w:val="24"/>
        </w:rPr>
        <w:t>:</w:t>
      </w:r>
    </w:p>
    <w:p w:rsidR="00B71962" w:rsidRPr="00A52981" w:rsidRDefault="00286E71" w:rsidP="00D46A18">
      <w:pPr>
        <w:pStyle w:val="PargrafodaLista"/>
        <w:numPr>
          <w:ilvl w:val="0"/>
          <w:numId w:val="18"/>
        </w:numPr>
        <w:spacing w:after="120"/>
        <w:ind w:left="714" w:hanging="357"/>
        <w:contextualSpacing w:val="0"/>
        <w:jc w:val="both"/>
        <w:rPr>
          <w:rFonts w:ascii="Arial Narrow" w:hAnsi="Arial Narrow" w:cs="Arial"/>
          <w:color w:val="767171" w:themeColor="background2" w:themeShade="80"/>
          <w:sz w:val="24"/>
        </w:rPr>
      </w:pPr>
      <w:r w:rsidRPr="00A52981">
        <w:rPr>
          <w:rFonts w:ascii="Arial Narrow" w:hAnsi="Arial Narrow" w:cs="Arial"/>
          <w:color w:val="767171" w:themeColor="background2" w:themeShade="80"/>
          <w:sz w:val="24"/>
        </w:rPr>
        <w:t>A</w:t>
      </w:r>
      <w:r w:rsidR="00B71962" w:rsidRPr="00A52981">
        <w:rPr>
          <w:rFonts w:ascii="Arial Narrow" w:hAnsi="Arial Narrow" w:cs="Arial"/>
          <w:color w:val="767171" w:themeColor="background2" w:themeShade="80"/>
          <w:sz w:val="24"/>
        </w:rPr>
        <w:t xml:space="preserve">petite a risco </w:t>
      </w:r>
      <w:r w:rsidR="00A4099E" w:rsidRPr="00A52981">
        <w:rPr>
          <w:rFonts w:ascii="Arial Narrow" w:hAnsi="Arial Narrow" w:cs="Arial"/>
          <w:color w:val="767171" w:themeColor="background2" w:themeShade="80"/>
          <w:sz w:val="24"/>
        </w:rPr>
        <w:t xml:space="preserve">da </w:t>
      </w:r>
      <w:r w:rsidR="00B71962" w:rsidRPr="00A52981">
        <w:rPr>
          <w:rFonts w:ascii="Arial Narrow" w:hAnsi="Arial Narrow" w:cs="Arial"/>
          <w:color w:val="767171" w:themeColor="background2" w:themeShade="80"/>
          <w:sz w:val="24"/>
        </w:rPr>
        <w:t>companhia</w:t>
      </w:r>
      <w:r w:rsidRPr="00A52981">
        <w:rPr>
          <w:rFonts w:ascii="Arial Narrow" w:hAnsi="Arial Narrow" w:cs="Arial"/>
          <w:color w:val="767171" w:themeColor="background2" w:themeShade="80"/>
          <w:sz w:val="24"/>
        </w:rPr>
        <w:t xml:space="preserve"> e suas consequências para a Gestão de Risco</w:t>
      </w:r>
      <w:r w:rsidR="00B71962" w:rsidRPr="00A52981">
        <w:rPr>
          <w:rFonts w:ascii="Arial Narrow" w:hAnsi="Arial Narrow" w:cs="Arial"/>
          <w:color w:val="767171" w:themeColor="background2" w:themeShade="80"/>
          <w:sz w:val="24"/>
        </w:rPr>
        <w:t xml:space="preserve">; </w:t>
      </w:r>
    </w:p>
    <w:p w:rsidR="00033E70" w:rsidRPr="00A52981" w:rsidRDefault="00286E71" w:rsidP="00D46A18">
      <w:pPr>
        <w:pStyle w:val="PargrafodaLista"/>
        <w:numPr>
          <w:ilvl w:val="0"/>
          <w:numId w:val="18"/>
        </w:numPr>
        <w:spacing w:after="120"/>
        <w:ind w:left="714" w:hanging="357"/>
        <w:contextualSpacing w:val="0"/>
        <w:jc w:val="both"/>
        <w:rPr>
          <w:rFonts w:ascii="Arial Narrow" w:hAnsi="Arial Narrow" w:cs="Arial"/>
          <w:color w:val="767171" w:themeColor="background2" w:themeShade="80"/>
          <w:sz w:val="24"/>
        </w:rPr>
      </w:pPr>
      <w:r w:rsidRPr="00A52981">
        <w:rPr>
          <w:rFonts w:ascii="Arial Narrow" w:hAnsi="Arial Narrow" w:cs="Arial"/>
          <w:color w:val="767171" w:themeColor="background2" w:themeShade="80"/>
          <w:sz w:val="24"/>
        </w:rPr>
        <w:t>D</w:t>
      </w:r>
      <w:r w:rsidR="00B71962" w:rsidRPr="00A52981">
        <w:rPr>
          <w:rFonts w:ascii="Arial Narrow" w:hAnsi="Arial Narrow" w:cs="Arial"/>
          <w:color w:val="767171" w:themeColor="background2" w:themeShade="80"/>
          <w:sz w:val="24"/>
        </w:rPr>
        <w:t xml:space="preserve">iretrizes para </w:t>
      </w:r>
      <w:r w:rsidRPr="00A52981">
        <w:rPr>
          <w:rFonts w:ascii="Arial Narrow" w:hAnsi="Arial Narrow" w:cs="Arial"/>
          <w:color w:val="767171" w:themeColor="background2" w:themeShade="80"/>
          <w:sz w:val="24"/>
        </w:rPr>
        <w:t>a</w:t>
      </w:r>
      <w:r w:rsidR="00B71962" w:rsidRPr="00A52981">
        <w:rPr>
          <w:rFonts w:ascii="Arial Narrow" w:hAnsi="Arial Narrow" w:cs="Arial"/>
          <w:color w:val="767171" w:themeColor="background2" w:themeShade="80"/>
          <w:sz w:val="24"/>
        </w:rPr>
        <w:t xml:space="preserve"> </w:t>
      </w:r>
      <w:r w:rsidRPr="00A52981">
        <w:rPr>
          <w:rFonts w:ascii="Arial Narrow" w:hAnsi="Arial Narrow" w:cs="Arial"/>
          <w:color w:val="767171" w:themeColor="background2" w:themeShade="80"/>
          <w:sz w:val="24"/>
        </w:rPr>
        <w:t>G</w:t>
      </w:r>
      <w:r w:rsidR="00B71962" w:rsidRPr="00A52981">
        <w:rPr>
          <w:rFonts w:ascii="Arial Narrow" w:hAnsi="Arial Narrow" w:cs="Arial"/>
          <w:color w:val="767171" w:themeColor="background2" w:themeShade="80"/>
          <w:sz w:val="24"/>
        </w:rPr>
        <w:t>estão d</w:t>
      </w:r>
      <w:r w:rsidRPr="00A52981">
        <w:rPr>
          <w:rFonts w:ascii="Arial Narrow" w:hAnsi="Arial Narrow" w:cs="Arial"/>
          <w:color w:val="767171" w:themeColor="background2" w:themeShade="80"/>
          <w:sz w:val="24"/>
        </w:rPr>
        <w:t>e</w:t>
      </w:r>
      <w:r w:rsidR="00B71962" w:rsidRPr="00A52981">
        <w:rPr>
          <w:rFonts w:ascii="Arial Narrow" w:hAnsi="Arial Narrow" w:cs="Arial"/>
          <w:color w:val="767171" w:themeColor="background2" w:themeShade="80"/>
          <w:sz w:val="24"/>
        </w:rPr>
        <w:t xml:space="preserve"> </w:t>
      </w:r>
      <w:r w:rsidRPr="00A52981">
        <w:rPr>
          <w:rFonts w:ascii="Arial Narrow" w:hAnsi="Arial Narrow" w:cs="Arial"/>
          <w:color w:val="767171" w:themeColor="background2" w:themeShade="80"/>
          <w:sz w:val="24"/>
        </w:rPr>
        <w:t>R</w:t>
      </w:r>
      <w:r w:rsidR="00B71962" w:rsidRPr="00A52981">
        <w:rPr>
          <w:rFonts w:ascii="Arial Narrow" w:hAnsi="Arial Narrow" w:cs="Arial"/>
          <w:color w:val="767171" w:themeColor="background2" w:themeShade="80"/>
          <w:sz w:val="24"/>
        </w:rPr>
        <w:t>isco</w:t>
      </w:r>
      <w:r w:rsidRPr="00A52981">
        <w:rPr>
          <w:rFonts w:ascii="Arial Narrow" w:hAnsi="Arial Narrow" w:cs="Arial"/>
          <w:color w:val="767171" w:themeColor="background2" w:themeShade="80"/>
          <w:sz w:val="24"/>
        </w:rPr>
        <w:t>;</w:t>
      </w:r>
    </w:p>
    <w:p w:rsidR="00033E70" w:rsidRPr="00A52981" w:rsidRDefault="00286E71" w:rsidP="00D46A18">
      <w:pPr>
        <w:pStyle w:val="PargrafodaLista"/>
        <w:numPr>
          <w:ilvl w:val="0"/>
          <w:numId w:val="18"/>
        </w:numPr>
        <w:spacing w:after="120"/>
        <w:ind w:left="714" w:hanging="357"/>
        <w:contextualSpacing w:val="0"/>
        <w:jc w:val="both"/>
        <w:rPr>
          <w:rFonts w:ascii="Arial Narrow" w:hAnsi="Arial Narrow" w:cs="Arial"/>
          <w:color w:val="767171" w:themeColor="background2" w:themeShade="80"/>
          <w:sz w:val="24"/>
        </w:rPr>
      </w:pPr>
      <w:r w:rsidRPr="00A52981">
        <w:rPr>
          <w:rFonts w:ascii="Arial Narrow" w:hAnsi="Arial Narrow" w:cs="Arial"/>
          <w:color w:val="767171" w:themeColor="background2" w:themeShade="80"/>
          <w:sz w:val="24"/>
        </w:rPr>
        <w:t>Organização funcional voltada à Gestão de Risco;</w:t>
      </w:r>
    </w:p>
    <w:p w:rsidR="003C1F02" w:rsidRDefault="00904464" w:rsidP="00D46A18">
      <w:pPr>
        <w:pStyle w:val="PargrafodaLista"/>
        <w:numPr>
          <w:ilvl w:val="0"/>
          <w:numId w:val="18"/>
        </w:numPr>
        <w:spacing w:after="120"/>
        <w:ind w:left="714" w:hanging="357"/>
        <w:contextualSpacing w:val="0"/>
        <w:jc w:val="both"/>
        <w:rPr>
          <w:rFonts w:ascii="Arial Narrow" w:hAnsi="Arial Narrow"/>
          <w:color w:val="767171" w:themeColor="background2" w:themeShade="80"/>
          <w:sz w:val="24"/>
        </w:rPr>
      </w:pPr>
      <w:r>
        <w:rPr>
          <w:rFonts w:ascii="Arial Narrow" w:hAnsi="Arial Narrow"/>
          <w:color w:val="767171" w:themeColor="background2" w:themeShade="80"/>
          <w:sz w:val="24"/>
        </w:rPr>
        <w:t>A</w:t>
      </w:r>
      <w:r w:rsidR="003C1F02" w:rsidRPr="00A52981">
        <w:rPr>
          <w:rFonts w:ascii="Arial Narrow" w:hAnsi="Arial Narrow"/>
          <w:color w:val="767171" w:themeColor="background2" w:themeShade="80"/>
          <w:sz w:val="24"/>
        </w:rPr>
        <w:t xml:space="preserve">plicação </w:t>
      </w:r>
      <w:r>
        <w:rPr>
          <w:rFonts w:ascii="Arial Narrow" w:hAnsi="Arial Narrow"/>
          <w:color w:val="767171" w:themeColor="background2" w:themeShade="80"/>
          <w:sz w:val="24"/>
        </w:rPr>
        <w:t xml:space="preserve">prática </w:t>
      </w:r>
      <w:r w:rsidR="003C1F02" w:rsidRPr="00A52981">
        <w:rPr>
          <w:rFonts w:ascii="Arial Narrow" w:hAnsi="Arial Narrow"/>
          <w:color w:val="767171" w:themeColor="background2" w:themeShade="80"/>
          <w:sz w:val="24"/>
        </w:rPr>
        <w:t>da bem elaborada política de Gestão de Risco;</w:t>
      </w:r>
    </w:p>
    <w:p w:rsidR="00017EF0" w:rsidRPr="00A52981" w:rsidRDefault="00017EF0" w:rsidP="00D46A18">
      <w:pPr>
        <w:pStyle w:val="PargrafodaLista"/>
        <w:numPr>
          <w:ilvl w:val="0"/>
          <w:numId w:val="18"/>
        </w:numPr>
        <w:spacing w:after="120"/>
        <w:ind w:left="714" w:hanging="357"/>
        <w:contextualSpacing w:val="0"/>
        <w:jc w:val="both"/>
        <w:rPr>
          <w:rFonts w:ascii="Arial Narrow" w:hAnsi="Arial Narrow"/>
          <w:color w:val="767171" w:themeColor="background2" w:themeShade="80"/>
          <w:sz w:val="24"/>
        </w:rPr>
      </w:pPr>
      <w:r>
        <w:rPr>
          <w:rFonts w:ascii="Arial Narrow" w:hAnsi="Arial Narrow"/>
          <w:color w:val="767171" w:themeColor="background2" w:themeShade="80"/>
          <w:sz w:val="24"/>
        </w:rPr>
        <w:t xml:space="preserve">Aplicação prática do </w:t>
      </w:r>
      <w:r w:rsidR="001D309E">
        <w:rPr>
          <w:rFonts w:ascii="Arial Narrow" w:hAnsi="Arial Narrow"/>
          <w:color w:val="767171" w:themeColor="background2" w:themeShade="80"/>
          <w:sz w:val="24"/>
        </w:rPr>
        <w:t xml:space="preserve">instrutivo </w:t>
      </w:r>
      <w:r>
        <w:rPr>
          <w:rFonts w:ascii="Arial Narrow" w:hAnsi="Arial Narrow"/>
          <w:color w:val="767171" w:themeColor="background2" w:themeShade="80"/>
          <w:sz w:val="24"/>
        </w:rPr>
        <w:t>código de conduta</w:t>
      </w:r>
      <w:r w:rsidR="00F3328A">
        <w:rPr>
          <w:rFonts w:ascii="Arial Narrow" w:hAnsi="Arial Narrow"/>
          <w:color w:val="767171" w:themeColor="background2" w:themeShade="80"/>
          <w:sz w:val="24"/>
        </w:rPr>
        <w:t xml:space="preserve"> e ética divulgado no site da Companhia</w:t>
      </w:r>
      <w:r>
        <w:rPr>
          <w:rFonts w:ascii="Arial Narrow" w:hAnsi="Arial Narrow"/>
          <w:color w:val="767171" w:themeColor="background2" w:themeShade="80"/>
          <w:sz w:val="24"/>
        </w:rPr>
        <w:t>;</w:t>
      </w:r>
    </w:p>
    <w:p w:rsidR="003C1F02" w:rsidRPr="00A52981" w:rsidRDefault="00A41EC2" w:rsidP="00D46A18">
      <w:pPr>
        <w:pStyle w:val="PargrafodaLista"/>
        <w:numPr>
          <w:ilvl w:val="0"/>
          <w:numId w:val="18"/>
        </w:numPr>
        <w:spacing w:after="120"/>
        <w:ind w:left="714" w:hanging="357"/>
        <w:contextualSpacing w:val="0"/>
        <w:jc w:val="both"/>
        <w:rPr>
          <w:rFonts w:ascii="Arial Narrow" w:hAnsi="Arial Narrow"/>
          <w:color w:val="767171" w:themeColor="background2" w:themeShade="80"/>
          <w:sz w:val="24"/>
        </w:rPr>
      </w:pPr>
      <w:r>
        <w:rPr>
          <w:rFonts w:ascii="Arial Narrow" w:hAnsi="Arial Narrow"/>
          <w:color w:val="767171" w:themeColor="background2" w:themeShade="80"/>
          <w:sz w:val="24"/>
        </w:rPr>
        <w:t>A</w:t>
      </w:r>
      <w:r w:rsidR="003C1F02" w:rsidRPr="00A52981">
        <w:rPr>
          <w:rFonts w:ascii="Arial Narrow" w:hAnsi="Arial Narrow"/>
          <w:color w:val="767171" w:themeColor="background2" w:themeShade="80"/>
          <w:sz w:val="24"/>
        </w:rPr>
        <w:t>ções definidas para a mitigação dos Riscos;</w:t>
      </w:r>
    </w:p>
    <w:p w:rsidR="003C1F02" w:rsidRPr="00A52981" w:rsidRDefault="003C1F02" w:rsidP="00D46A18">
      <w:pPr>
        <w:pStyle w:val="PargrafodaLista"/>
        <w:numPr>
          <w:ilvl w:val="0"/>
          <w:numId w:val="18"/>
        </w:numPr>
        <w:spacing w:after="120"/>
        <w:ind w:left="714" w:hanging="357"/>
        <w:contextualSpacing w:val="0"/>
        <w:jc w:val="both"/>
        <w:rPr>
          <w:rFonts w:ascii="Arial Narrow" w:hAnsi="Arial Narrow"/>
          <w:color w:val="767171" w:themeColor="background2" w:themeShade="80"/>
          <w:sz w:val="24"/>
        </w:rPr>
      </w:pPr>
      <w:r w:rsidRPr="00A52981">
        <w:rPr>
          <w:rFonts w:ascii="Arial Narrow" w:hAnsi="Arial Narrow"/>
          <w:color w:val="767171" w:themeColor="background2" w:themeShade="80"/>
          <w:sz w:val="24"/>
        </w:rPr>
        <w:t xml:space="preserve">Planos de Contingência definidos para os segmentos mais relevantes à realização dos negócios da </w:t>
      </w:r>
      <w:r w:rsidR="00BE75A2" w:rsidRPr="00A52981">
        <w:rPr>
          <w:rFonts w:ascii="Arial Narrow" w:hAnsi="Arial Narrow"/>
          <w:b/>
          <w:color w:val="767171" w:themeColor="background2" w:themeShade="80"/>
          <w:sz w:val="24"/>
        </w:rPr>
        <w:t>Cristal</w:t>
      </w:r>
      <w:r w:rsidRPr="00A52981">
        <w:rPr>
          <w:rFonts w:ascii="Arial Narrow" w:hAnsi="Arial Narrow"/>
          <w:color w:val="767171" w:themeColor="background2" w:themeShade="80"/>
          <w:sz w:val="24"/>
        </w:rPr>
        <w:t>;</w:t>
      </w:r>
    </w:p>
    <w:p w:rsidR="00AA0ED0" w:rsidRPr="00A52981" w:rsidRDefault="00E25212" w:rsidP="00D46A18">
      <w:pPr>
        <w:pStyle w:val="PargrafodaLista"/>
        <w:numPr>
          <w:ilvl w:val="0"/>
          <w:numId w:val="18"/>
        </w:numPr>
        <w:spacing w:after="120"/>
        <w:ind w:left="714" w:hanging="357"/>
        <w:contextualSpacing w:val="0"/>
        <w:jc w:val="both"/>
        <w:rPr>
          <w:rFonts w:ascii="Arial Narrow" w:hAnsi="Arial Narrow"/>
          <w:color w:val="767171" w:themeColor="background2" w:themeShade="80"/>
          <w:sz w:val="24"/>
        </w:rPr>
      </w:pPr>
      <w:r>
        <w:rPr>
          <w:rFonts w:ascii="Arial Narrow" w:hAnsi="Arial Narrow"/>
          <w:color w:val="767171" w:themeColor="background2" w:themeShade="80"/>
          <w:sz w:val="24"/>
        </w:rPr>
        <w:t>Tratamento</w:t>
      </w:r>
      <w:r w:rsidR="00AA0ED0" w:rsidRPr="00A52981">
        <w:rPr>
          <w:rFonts w:ascii="Arial Narrow" w:hAnsi="Arial Narrow"/>
          <w:color w:val="767171" w:themeColor="background2" w:themeShade="80"/>
          <w:sz w:val="24"/>
        </w:rPr>
        <w:t xml:space="preserve"> </w:t>
      </w:r>
      <w:r>
        <w:rPr>
          <w:rFonts w:ascii="Arial Narrow" w:hAnsi="Arial Narrow"/>
          <w:color w:val="767171" w:themeColor="background2" w:themeShade="80"/>
          <w:sz w:val="24"/>
        </w:rPr>
        <w:t>d</w:t>
      </w:r>
      <w:r w:rsidR="00AA0ED0" w:rsidRPr="00A52981">
        <w:rPr>
          <w:rFonts w:ascii="Arial Narrow" w:hAnsi="Arial Narrow"/>
          <w:color w:val="767171" w:themeColor="background2" w:themeShade="80"/>
          <w:sz w:val="24"/>
        </w:rPr>
        <w:t>os vários tipos de risco listados na tabela constante da Política de Risco:</w:t>
      </w:r>
    </w:p>
    <w:p w:rsidR="00AA0ED0" w:rsidRPr="00A52981" w:rsidRDefault="00AA0ED0" w:rsidP="00AA0ED0">
      <w:pPr>
        <w:pStyle w:val="PargrafodaLista"/>
        <w:numPr>
          <w:ilvl w:val="1"/>
          <w:numId w:val="18"/>
        </w:numPr>
        <w:jc w:val="both"/>
        <w:rPr>
          <w:rFonts w:ascii="Arial Narrow" w:hAnsi="Arial Narrow"/>
          <w:color w:val="767171" w:themeColor="background2" w:themeShade="80"/>
          <w:sz w:val="24"/>
        </w:rPr>
      </w:pPr>
      <w:r w:rsidRPr="00A52981">
        <w:rPr>
          <w:rFonts w:ascii="Arial Narrow" w:hAnsi="Arial Narrow"/>
          <w:color w:val="767171" w:themeColor="background2" w:themeShade="80"/>
          <w:sz w:val="24"/>
        </w:rPr>
        <w:t>Riscos estratégicos;</w:t>
      </w:r>
    </w:p>
    <w:p w:rsidR="00AA0ED0" w:rsidRPr="00A52981" w:rsidRDefault="00AA0ED0" w:rsidP="00AA0ED0">
      <w:pPr>
        <w:pStyle w:val="PargrafodaLista"/>
        <w:numPr>
          <w:ilvl w:val="1"/>
          <w:numId w:val="18"/>
        </w:numPr>
        <w:jc w:val="both"/>
        <w:rPr>
          <w:rFonts w:ascii="Arial Narrow" w:hAnsi="Arial Narrow"/>
          <w:color w:val="767171" w:themeColor="background2" w:themeShade="80"/>
          <w:sz w:val="24"/>
        </w:rPr>
      </w:pPr>
      <w:r w:rsidRPr="00A52981">
        <w:rPr>
          <w:rFonts w:ascii="Arial Narrow" w:hAnsi="Arial Narrow"/>
          <w:color w:val="767171" w:themeColor="background2" w:themeShade="80"/>
          <w:sz w:val="24"/>
        </w:rPr>
        <w:t xml:space="preserve">Riscos de </w:t>
      </w:r>
      <w:proofErr w:type="spellStart"/>
      <w:r w:rsidRPr="00A52981">
        <w:rPr>
          <w:rFonts w:ascii="Arial Narrow" w:hAnsi="Arial Narrow"/>
          <w:color w:val="767171" w:themeColor="background2" w:themeShade="80"/>
          <w:sz w:val="24"/>
        </w:rPr>
        <w:t>compliance</w:t>
      </w:r>
      <w:proofErr w:type="spellEnd"/>
      <w:r w:rsidRPr="00A52981">
        <w:rPr>
          <w:rFonts w:ascii="Arial Narrow" w:hAnsi="Arial Narrow"/>
          <w:color w:val="767171" w:themeColor="background2" w:themeShade="80"/>
          <w:sz w:val="24"/>
        </w:rPr>
        <w:t>;</w:t>
      </w:r>
    </w:p>
    <w:p w:rsidR="00AA0ED0" w:rsidRPr="00A52981" w:rsidRDefault="00AA0ED0" w:rsidP="00AA0ED0">
      <w:pPr>
        <w:pStyle w:val="PargrafodaLista"/>
        <w:numPr>
          <w:ilvl w:val="1"/>
          <w:numId w:val="18"/>
        </w:numPr>
        <w:jc w:val="both"/>
        <w:rPr>
          <w:rFonts w:ascii="Arial Narrow" w:hAnsi="Arial Narrow"/>
          <w:color w:val="767171" w:themeColor="background2" w:themeShade="80"/>
          <w:sz w:val="24"/>
        </w:rPr>
      </w:pPr>
      <w:r w:rsidRPr="00A52981">
        <w:rPr>
          <w:rFonts w:ascii="Arial Narrow" w:hAnsi="Arial Narrow"/>
          <w:color w:val="767171" w:themeColor="background2" w:themeShade="80"/>
          <w:sz w:val="24"/>
        </w:rPr>
        <w:t>Riscos financeiros, com especial atenção aos riscos cambiais, uma vez que a Companhia realiza muitos negócios com o exterior;</w:t>
      </w:r>
    </w:p>
    <w:p w:rsidR="00AA0ED0" w:rsidRPr="00A52981" w:rsidRDefault="00AA0ED0" w:rsidP="00AA0ED0">
      <w:pPr>
        <w:pStyle w:val="PargrafodaLista"/>
        <w:numPr>
          <w:ilvl w:val="1"/>
          <w:numId w:val="18"/>
        </w:numPr>
        <w:jc w:val="both"/>
        <w:rPr>
          <w:rFonts w:ascii="Arial Narrow" w:hAnsi="Arial Narrow"/>
          <w:color w:val="767171" w:themeColor="background2" w:themeShade="80"/>
          <w:sz w:val="24"/>
        </w:rPr>
      </w:pPr>
      <w:r w:rsidRPr="00A52981">
        <w:rPr>
          <w:rFonts w:ascii="Arial Narrow" w:hAnsi="Arial Narrow"/>
          <w:color w:val="767171" w:themeColor="background2" w:themeShade="80"/>
          <w:sz w:val="24"/>
        </w:rPr>
        <w:t>Riscos operacionais;</w:t>
      </w:r>
    </w:p>
    <w:p w:rsidR="00AA0ED0" w:rsidRPr="00A52981" w:rsidRDefault="00AA0ED0" w:rsidP="00D46A18">
      <w:pPr>
        <w:pStyle w:val="PargrafodaLista"/>
        <w:numPr>
          <w:ilvl w:val="1"/>
          <w:numId w:val="18"/>
        </w:numPr>
        <w:spacing w:after="120"/>
        <w:ind w:left="1434" w:hanging="357"/>
        <w:contextualSpacing w:val="0"/>
        <w:jc w:val="both"/>
        <w:rPr>
          <w:rFonts w:ascii="Arial Narrow" w:hAnsi="Arial Narrow"/>
          <w:color w:val="767171" w:themeColor="background2" w:themeShade="80"/>
          <w:sz w:val="24"/>
        </w:rPr>
      </w:pPr>
      <w:r w:rsidRPr="00A52981">
        <w:rPr>
          <w:rFonts w:ascii="Arial Narrow" w:hAnsi="Arial Narrow"/>
          <w:color w:val="767171" w:themeColor="background2" w:themeShade="80"/>
          <w:sz w:val="24"/>
        </w:rPr>
        <w:t>Riscos para a demonstração financeira.</w:t>
      </w:r>
    </w:p>
    <w:p w:rsidR="00AA0ED0" w:rsidRDefault="003C1F02" w:rsidP="00D46A18">
      <w:pPr>
        <w:pStyle w:val="PargrafodaLista"/>
        <w:numPr>
          <w:ilvl w:val="0"/>
          <w:numId w:val="18"/>
        </w:numPr>
        <w:spacing w:after="120"/>
        <w:ind w:left="714" w:hanging="357"/>
        <w:contextualSpacing w:val="0"/>
        <w:jc w:val="both"/>
        <w:rPr>
          <w:rFonts w:ascii="Arial Narrow" w:hAnsi="Arial Narrow"/>
          <w:color w:val="767171" w:themeColor="background2" w:themeShade="80"/>
          <w:sz w:val="24"/>
        </w:rPr>
      </w:pPr>
      <w:r w:rsidRPr="00A52981">
        <w:rPr>
          <w:rFonts w:ascii="Arial Narrow" w:hAnsi="Arial Narrow"/>
          <w:color w:val="767171" w:themeColor="background2" w:themeShade="80"/>
          <w:sz w:val="24"/>
        </w:rPr>
        <w:t>Em complementação, n</w:t>
      </w:r>
      <w:r w:rsidR="00AA0ED0" w:rsidRPr="00A52981">
        <w:rPr>
          <w:rFonts w:ascii="Arial Narrow" w:hAnsi="Arial Narrow"/>
          <w:color w:val="767171" w:themeColor="background2" w:themeShade="80"/>
          <w:sz w:val="24"/>
        </w:rPr>
        <w:t xml:space="preserve">os dias atuais, uma organização não consegue ser competitiva se não fizer uso adequado das tecnologias de tratamento de informações (incluindo inteligência artificial e robotização) e de comunicação. No material divulgado pela </w:t>
      </w:r>
      <w:r w:rsidR="00BE75A2" w:rsidRPr="00A52981">
        <w:rPr>
          <w:rFonts w:ascii="Arial Narrow" w:hAnsi="Arial Narrow"/>
          <w:b/>
          <w:color w:val="767171" w:themeColor="background2" w:themeShade="80"/>
          <w:sz w:val="24"/>
        </w:rPr>
        <w:t>Cristal</w:t>
      </w:r>
      <w:r w:rsidR="00AA0ED0" w:rsidRPr="00A52981">
        <w:rPr>
          <w:rFonts w:ascii="Arial Narrow" w:hAnsi="Arial Narrow"/>
          <w:color w:val="767171" w:themeColor="background2" w:themeShade="80"/>
          <w:sz w:val="24"/>
        </w:rPr>
        <w:t xml:space="preserve">, este aspecto não é suficientemente explorado e, como estas soluções estão sujeitas inclusive a ataques externos, a consultoria deverá priorizar o entendimento da situação e, caso este segmento não esteja adequadamente </w:t>
      </w:r>
      <w:r w:rsidRPr="00A52981">
        <w:rPr>
          <w:rFonts w:ascii="Arial Narrow" w:hAnsi="Arial Narrow"/>
          <w:color w:val="767171" w:themeColor="background2" w:themeShade="80"/>
          <w:sz w:val="24"/>
        </w:rPr>
        <w:t>equacionado</w:t>
      </w:r>
      <w:r w:rsidR="00AA0ED0" w:rsidRPr="00A52981">
        <w:rPr>
          <w:rFonts w:ascii="Arial Narrow" w:hAnsi="Arial Narrow"/>
          <w:color w:val="767171" w:themeColor="background2" w:themeShade="80"/>
          <w:sz w:val="24"/>
        </w:rPr>
        <w:t xml:space="preserve"> em termos de risco, a Stefanini deverá dedicar boa parte de seu esforço no levantamento de informações complementares, diagnóstico e recomendações</w:t>
      </w:r>
      <w:r w:rsidR="008E118C" w:rsidRPr="00A52981">
        <w:rPr>
          <w:rFonts w:ascii="Arial Narrow" w:hAnsi="Arial Narrow"/>
          <w:color w:val="767171" w:themeColor="background2" w:themeShade="80"/>
          <w:sz w:val="24"/>
        </w:rPr>
        <w:t>;</w:t>
      </w:r>
    </w:p>
    <w:p w:rsidR="00D22999" w:rsidRPr="00A52981" w:rsidRDefault="00D22999" w:rsidP="00D46A18">
      <w:pPr>
        <w:pStyle w:val="PargrafodaLista"/>
        <w:numPr>
          <w:ilvl w:val="0"/>
          <w:numId w:val="18"/>
        </w:numPr>
        <w:spacing w:after="120"/>
        <w:ind w:left="714" w:hanging="357"/>
        <w:contextualSpacing w:val="0"/>
        <w:jc w:val="both"/>
        <w:rPr>
          <w:rFonts w:ascii="Arial Narrow" w:hAnsi="Arial Narrow"/>
          <w:color w:val="767171" w:themeColor="background2" w:themeShade="80"/>
          <w:sz w:val="24"/>
        </w:rPr>
      </w:pPr>
      <w:r>
        <w:rPr>
          <w:rFonts w:ascii="Arial Narrow" w:hAnsi="Arial Narrow"/>
          <w:color w:val="767171" w:themeColor="background2" w:themeShade="80"/>
          <w:sz w:val="24"/>
        </w:rPr>
        <w:t>Nível de maturidade da Gest</w:t>
      </w:r>
      <w:r w:rsidR="00130DE9">
        <w:rPr>
          <w:rFonts w:ascii="Arial Narrow" w:hAnsi="Arial Narrow"/>
          <w:color w:val="767171" w:themeColor="background2" w:themeShade="80"/>
          <w:sz w:val="24"/>
        </w:rPr>
        <w:t>ão de Risco: atual e desejado;</w:t>
      </w:r>
    </w:p>
    <w:p w:rsidR="008E118C" w:rsidRPr="00A52981" w:rsidRDefault="008E118C" w:rsidP="00D46A18">
      <w:pPr>
        <w:pStyle w:val="PargrafodaLista"/>
        <w:numPr>
          <w:ilvl w:val="0"/>
          <w:numId w:val="18"/>
        </w:numPr>
        <w:spacing w:after="120"/>
        <w:ind w:left="714" w:hanging="357"/>
        <w:contextualSpacing w:val="0"/>
        <w:jc w:val="both"/>
        <w:rPr>
          <w:rFonts w:ascii="Arial Narrow" w:hAnsi="Arial Narrow"/>
          <w:color w:val="767171" w:themeColor="background2" w:themeShade="80"/>
          <w:sz w:val="24"/>
        </w:rPr>
      </w:pPr>
      <w:r w:rsidRPr="00A52981">
        <w:rPr>
          <w:rFonts w:ascii="Arial Narrow" w:hAnsi="Arial Narrow"/>
          <w:color w:val="767171" w:themeColor="background2" w:themeShade="80"/>
          <w:sz w:val="24"/>
        </w:rPr>
        <w:t>As análises a serem elaboradas buscarão resposta às seguintes preocupações:</w:t>
      </w:r>
    </w:p>
    <w:p w:rsidR="008E118C" w:rsidRPr="00A52981" w:rsidRDefault="008E118C" w:rsidP="008E118C">
      <w:pPr>
        <w:pStyle w:val="PargrafodaLista"/>
        <w:numPr>
          <w:ilvl w:val="1"/>
          <w:numId w:val="18"/>
        </w:numPr>
        <w:jc w:val="both"/>
        <w:rPr>
          <w:rFonts w:ascii="Arial Narrow" w:hAnsi="Arial Narrow"/>
          <w:color w:val="767171" w:themeColor="background2" w:themeShade="80"/>
          <w:sz w:val="24"/>
        </w:rPr>
      </w:pPr>
      <w:r w:rsidRPr="00A52981">
        <w:rPr>
          <w:rFonts w:ascii="Arial Narrow" w:hAnsi="Arial Narrow"/>
          <w:color w:val="767171" w:themeColor="background2" w:themeShade="80"/>
          <w:sz w:val="24"/>
        </w:rPr>
        <w:t>O que pode comprometer o cumprimento das estratégias e metas</w:t>
      </w:r>
      <w:r w:rsidR="00E25212">
        <w:rPr>
          <w:rFonts w:ascii="Arial Narrow" w:hAnsi="Arial Narrow"/>
          <w:color w:val="767171" w:themeColor="background2" w:themeShade="80"/>
          <w:sz w:val="24"/>
        </w:rPr>
        <w:t xml:space="preserve"> da Companhia</w:t>
      </w:r>
      <w:r w:rsidRPr="00A52981">
        <w:rPr>
          <w:rFonts w:ascii="Arial Narrow" w:hAnsi="Arial Narrow"/>
          <w:color w:val="767171" w:themeColor="background2" w:themeShade="80"/>
          <w:sz w:val="24"/>
        </w:rPr>
        <w:t>?</w:t>
      </w:r>
    </w:p>
    <w:p w:rsidR="008E118C" w:rsidRPr="00A52981" w:rsidRDefault="008E118C" w:rsidP="008E118C">
      <w:pPr>
        <w:pStyle w:val="PargrafodaLista"/>
        <w:numPr>
          <w:ilvl w:val="1"/>
          <w:numId w:val="18"/>
        </w:numPr>
        <w:jc w:val="both"/>
        <w:rPr>
          <w:rFonts w:ascii="Arial Narrow" w:hAnsi="Arial Narrow"/>
          <w:color w:val="767171" w:themeColor="background2" w:themeShade="80"/>
          <w:sz w:val="24"/>
        </w:rPr>
      </w:pPr>
      <w:r w:rsidRPr="00A52981">
        <w:rPr>
          <w:rFonts w:ascii="Arial Narrow" w:hAnsi="Arial Narrow"/>
          <w:color w:val="767171" w:themeColor="background2" w:themeShade="80"/>
          <w:sz w:val="24"/>
        </w:rPr>
        <w:t>Onde estão as maiores oportunidades, ameaças e incertezas?</w:t>
      </w:r>
    </w:p>
    <w:p w:rsidR="008E118C" w:rsidRPr="00A52981" w:rsidRDefault="008E118C" w:rsidP="008E118C">
      <w:pPr>
        <w:pStyle w:val="PargrafodaLista"/>
        <w:numPr>
          <w:ilvl w:val="1"/>
          <w:numId w:val="18"/>
        </w:numPr>
        <w:jc w:val="both"/>
        <w:rPr>
          <w:rFonts w:ascii="Arial Narrow" w:hAnsi="Arial Narrow"/>
          <w:color w:val="767171" w:themeColor="background2" w:themeShade="80"/>
          <w:sz w:val="24"/>
        </w:rPr>
      </w:pPr>
      <w:r w:rsidRPr="00A52981">
        <w:rPr>
          <w:rFonts w:ascii="Arial Narrow" w:hAnsi="Arial Narrow"/>
          <w:color w:val="767171" w:themeColor="background2" w:themeShade="80"/>
          <w:sz w:val="24"/>
        </w:rPr>
        <w:t>Quais são os principais riscos?</w:t>
      </w:r>
    </w:p>
    <w:p w:rsidR="008E118C" w:rsidRPr="00A52981" w:rsidRDefault="008E118C" w:rsidP="008E118C">
      <w:pPr>
        <w:pStyle w:val="PargrafodaLista"/>
        <w:numPr>
          <w:ilvl w:val="1"/>
          <w:numId w:val="18"/>
        </w:numPr>
        <w:jc w:val="both"/>
        <w:rPr>
          <w:rFonts w:ascii="Arial Narrow" w:hAnsi="Arial Narrow"/>
          <w:color w:val="767171" w:themeColor="background2" w:themeShade="80"/>
          <w:sz w:val="24"/>
        </w:rPr>
      </w:pPr>
      <w:r w:rsidRPr="00A52981">
        <w:rPr>
          <w:rFonts w:ascii="Arial Narrow" w:hAnsi="Arial Narrow"/>
          <w:color w:val="767171" w:themeColor="background2" w:themeShade="80"/>
          <w:sz w:val="24"/>
        </w:rPr>
        <w:t>Qual a percepção desses riscos?</w:t>
      </w:r>
    </w:p>
    <w:p w:rsidR="008E118C" w:rsidRPr="00A52981" w:rsidRDefault="008E118C" w:rsidP="00690884">
      <w:pPr>
        <w:pStyle w:val="PargrafodaLista"/>
        <w:numPr>
          <w:ilvl w:val="1"/>
          <w:numId w:val="18"/>
        </w:numPr>
        <w:jc w:val="both"/>
        <w:rPr>
          <w:rFonts w:ascii="Arial Narrow" w:hAnsi="Arial Narrow"/>
          <w:color w:val="767171" w:themeColor="background2" w:themeShade="80"/>
          <w:sz w:val="24"/>
        </w:rPr>
      </w:pPr>
      <w:r w:rsidRPr="00A52981">
        <w:rPr>
          <w:rFonts w:ascii="Arial Narrow" w:hAnsi="Arial Narrow"/>
          <w:color w:val="767171" w:themeColor="background2" w:themeShade="80"/>
          <w:sz w:val="24"/>
        </w:rPr>
        <w:t xml:space="preserve">Qual a exposição a estes riscos? Existe diferença entre percepção e exposição? </w:t>
      </w:r>
    </w:p>
    <w:p w:rsidR="008E118C" w:rsidRPr="00A52981" w:rsidRDefault="008E118C" w:rsidP="008E118C">
      <w:pPr>
        <w:pStyle w:val="PargrafodaLista"/>
        <w:numPr>
          <w:ilvl w:val="1"/>
          <w:numId w:val="18"/>
        </w:numPr>
        <w:jc w:val="both"/>
        <w:rPr>
          <w:rFonts w:ascii="Arial Narrow" w:hAnsi="Arial Narrow"/>
          <w:color w:val="767171" w:themeColor="background2" w:themeShade="80"/>
          <w:sz w:val="24"/>
        </w:rPr>
      </w:pPr>
      <w:r w:rsidRPr="00A52981">
        <w:rPr>
          <w:rFonts w:ascii="Arial Narrow" w:hAnsi="Arial Narrow"/>
          <w:color w:val="767171" w:themeColor="background2" w:themeShade="80"/>
          <w:sz w:val="24"/>
        </w:rPr>
        <w:t>Como a Companhia responde aos riscos?</w:t>
      </w:r>
    </w:p>
    <w:p w:rsidR="008E118C" w:rsidRPr="00A52981" w:rsidRDefault="008E118C" w:rsidP="008E118C">
      <w:pPr>
        <w:pStyle w:val="PargrafodaLista"/>
        <w:numPr>
          <w:ilvl w:val="1"/>
          <w:numId w:val="18"/>
        </w:numPr>
        <w:jc w:val="both"/>
        <w:rPr>
          <w:rFonts w:ascii="Arial Narrow" w:hAnsi="Arial Narrow"/>
          <w:color w:val="767171" w:themeColor="background2" w:themeShade="80"/>
          <w:sz w:val="24"/>
        </w:rPr>
      </w:pPr>
      <w:r w:rsidRPr="00A52981">
        <w:rPr>
          <w:rFonts w:ascii="Arial Narrow" w:hAnsi="Arial Narrow"/>
          <w:color w:val="767171" w:themeColor="background2" w:themeShade="80"/>
          <w:sz w:val="24"/>
        </w:rPr>
        <w:t>Existem informações confiáveis para tomada de decisões?</w:t>
      </w:r>
    </w:p>
    <w:p w:rsidR="008E118C" w:rsidRPr="00A52981" w:rsidRDefault="008E118C" w:rsidP="00BE1BCD">
      <w:pPr>
        <w:pStyle w:val="PargrafodaLista"/>
        <w:numPr>
          <w:ilvl w:val="1"/>
          <w:numId w:val="18"/>
        </w:numPr>
        <w:jc w:val="both"/>
        <w:rPr>
          <w:rFonts w:ascii="Arial Narrow" w:hAnsi="Arial Narrow"/>
          <w:color w:val="767171" w:themeColor="background2" w:themeShade="80"/>
          <w:sz w:val="24"/>
        </w:rPr>
      </w:pPr>
      <w:r w:rsidRPr="00A52981">
        <w:rPr>
          <w:rFonts w:ascii="Arial Narrow" w:hAnsi="Arial Narrow"/>
          <w:color w:val="767171" w:themeColor="background2" w:themeShade="80"/>
          <w:sz w:val="24"/>
        </w:rPr>
        <w:lastRenderedPageBreak/>
        <w:t>O que é feito para assegurar que os riscos estejam em um nível aceitável de acordo com o apetite a riscos aprovado?</w:t>
      </w:r>
    </w:p>
    <w:p w:rsidR="008E118C" w:rsidRPr="00A52981" w:rsidRDefault="008E118C" w:rsidP="00CB203E">
      <w:pPr>
        <w:pStyle w:val="PargrafodaLista"/>
        <w:numPr>
          <w:ilvl w:val="1"/>
          <w:numId w:val="18"/>
        </w:numPr>
        <w:jc w:val="both"/>
        <w:rPr>
          <w:rFonts w:ascii="Arial Narrow" w:hAnsi="Arial Narrow"/>
          <w:color w:val="767171" w:themeColor="background2" w:themeShade="80"/>
          <w:sz w:val="24"/>
        </w:rPr>
      </w:pPr>
      <w:r w:rsidRPr="00A52981">
        <w:rPr>
          <w:rFonts w:ascii="Arial Narrow" w:hAnsi="Arial Narrow"/>
          <w:color w:val="767171" w:themeColor="background2" w:themeShade="80"/>
          <w:sz w:val="24"/>
        </w:rPr>
        <w:t>Os executivos e gestores têm consciência da importância do processo de gestão de riscos?</w:t>
      </w:r>
    </w:p>
    <w:p w:rsidR="008E118C" w:rsidRPr="00A52981" w:rsidRDefault="008E118C" w:rsidP="008E118C">
      <w:pPr>
        <w:pStyle w:val="PargrafodaLista"/>
        <w:numPr>
          <w:ilvl w:val="1"/>
          <w:numId w:val="18"/>
        </w:numPr>
        <w:jc w:val="both"/>
        <w:rPr>
          <w:rFonts w:ascii="Arial Narrow" w:hAnsi="Arial Narrow"/>
          <w:color w:val="767171" w:themeColor="background2" w:themeShade="80"/>
          <w:sz w:val="24"/>
        </w:rPr>
      </w:pPr>
      <w:r w:rsidRPr="00A52981">
        <w:rPr>
          <w:rFonts w:ascii="Arial Narrow" w:hAnsi="Arial Narrow"/>
          <w:color w:val="767171" w:themeColor="background2" w:themeShade="80"/>
          <w:sz w:val="24"/>
        </w:rPr>
        <w:t>A Companhia conta com as competências necessárias para gerir os riscos assumidos?</w:t>
      </w:r>
    </w:p>
    <w:p w:rsidR="00B71962" w:rsidRDefault="008E118C" w:rsidP="001901D2">
      <w:pPr>
        <w:pStyle w:val="PargrafodaLista"/>
        <w:numPr>
          <w:ilvl w:val="1"/>
          <w:numId w:val="18"/>
        </w:numPr>
        <w:spacing w:after="120"/>
        <w:ind w:left="1434" w:hanging="357"/>
        <w:contextualSpacing w:val="0"/>
        <w:jc w:val="both"/>
        <w:rPr>
          <w:rFonts w:ascii="Arial Narrow" w:hAnsi="Arial Narrow"/>
          <w:color w:val="767171" w:themeColor="background2" w:themeShade="80"/>
          <w:sz w:val="24"/>
        </w:rPr>
      </w:pPr>
      <w:r w:rsidRPr="00A52981">
        <w:rPr>
          <w:rFonts w:ascii="Arial Narrow" w:hAnsi="Arial Narrow"/>
          <w:color w:val="767171" w:themeColor="background2" w:themeShade="80"/>
          <w:sz w:val="24"/>
        </w:rPr>
        <w:t>Que padrões, ferramentas e metodologias são utilizadas?</w:t>
      </w:r>
    </w:p>
    <w:p w:rsidR="001901D2" w:rsidRPr="001901D2" w:rsidRDefault="001901D2" w:rsidP="001901D2">
      <w:pPr>
        <w:jc w:val="both"/>
        <w:rPr>
          <w:rFonts w:ascii="Arial Narrow" w:hAnsi="Arial Narrow"/>
          <w:color w:val="767171" w:themeColor="background2" w:themeShade="80"/>
          <w:sz w:val="24"/>
          <w:szCs w:val="24"/>
        </w:rPr>
      </w:pPr>
      <w:r>
        <w:rPr>
          <w:rFonts w:ascii="Arial Narrow" w:hAnsi="Arial Narrow"/>
          <w:color w:val="767171" w:themeColor="background2" w:themeShade="80"/>
          <w:sz w:val="24"/>
          <w:szCs w:val="24"/>
        </w:rPr>
        <w:t>Finalizando, a</w:t>
      </w:r>
      <w:r w:rsidRPr="001901D2">
        <w:rPr>
          <w:rFonts w:ascii="Arial Narrow" w:hAnsi="Arial Narrow"/>
          <w:color w:val="767171" w:themeColor="background2" w:themeShade="80"/>
          <w:sz w:val="24"/>
          <w:szCs w:val="24"/>
        </w:rPr>
        <w:t xml:space="preserve">s análises e recomendações </w:t>
      </w:r>
      <w:r>
        <w:rPr>
          <w:rFonts w:ascii="Arial Narrow" w:hAnsi="Arial Narrow"/>
          <w:color w:val="767171" w:themeColor="background2" w:themeShade="80"/>
          <w:sz w:val="24"/>
          <w:szCs w:val="24"/>
        </w:rPr>
        <w:t xml:space="preserve">elaboradas pela Stefanini </w:t>
      </w:r>
      <w:r w:rsidRPr="001901D2">
        <w:rPr>
          <w:rFonts w:ascii="Arial Narrow" w:hAnsi="Arial Narrow"/>
          <w:color w:val="767171" w:themeColor="background2" w:themeShade="80"/>
          <w:sz w:val="24"/>
          <w:szCs w:val="24"/>
        </w:rPr>
        <w:t xml:space="preserve">serão consolidadas em uma especificação para a construção </w:t>
      </w:r>
      <w:r w:rsidR="00CF242C">
        <w:rPr>
          <w:rFonts w:ascii="Arial Narrow" w:hAnsi="Arial Narrow"/>
          <w:color w:val="767171" w:themeColor="background2" w:themeShade="80"/>
          <w:sz w:val="24"/>
          <w:szCs w:val="24"/>
        </w:rPr>
        <w:t xml:space="preserve">ou aprimoramento (se já existir um) </w:t>
      </w:r>
      <w:r w:rsidRPr="001901D2">
        <w:rPr>
          <w:rFonts w:ascii="Arial Narrow" w:hAnsi="Arial Narrow"/>
          <w:color w:val="767171" w:themeColor="background2" w:themeShade="80"/>
          <w:sz w:val="24"/>
          <w:szCs w:val="24"/>
        </w:rPr>
        <w:t xml:space="preserve">de um dashboard </w:t>
      </w:r>
      <w:r w:rsidR="00C54A85">
        <w:rPr>
          <w:rFonts w:ascii="Arial Narrow" w:hAnsi="Arial Narrow"/>
          <w:color w:val="767171" w:themeColor="background2" w:themeShade="80"/>
          <w:sz w:val="24"/>
          <w:szCs w:val="24"/>
        </w:rPr>
        <w:t>de suporte à</w:t>
      </w:r>
      <w:r w:rsidRPr="001901D2">
        <w:rPr>
          <w:rFonts w:ascii="Arial Narrow" w:hAnsi="Arial Narrow"/>
          <w:color w:val="767171" w:themeColor="background2" w:themeShade="80"/>
          <w:sz w:val="24"/>
          <w:szCs w:val="24"/>
        </w:rPr>
        <w:t xml:space="preserve"> Gestão de Risco da Cristal</w:t>
      </w:r>
      <w:r w:rsidR="00D22999">
        <w:rPr>
          <w:rFonts w:ascii="Arial Narrow" w:hAnsi="Arial Narrow"/>
          <w:color w:val="767171" w:themeColor="background2" w:themeShade="80"/>
          <w:sz w:val="24"/>
          <w:szCs w:val="24"/>
        </w:rPr>
        <w:t>.</w:t>
      </w:r>
    </w:p>
    <w:p w:rsidR="00D46A18" w:rsidRPr="001901D2" w:rsidRDefault="00D46A18" w:rsidP="00D46A18">
      <w:pPr>
        <w:jc w:val="both"/>
        <w:rPr>
          <w:rFonts w:ascii="Arial Narrow" w:hAnsi="Arial Narrow"/>
          <w:color w:val="767171" w:themeColor="background2" w:themeShade="80"/>
          <w:sz w:val="24"/>
          <w:szCs w:val="24"/>
        </w:rPr>
      </w:pPr>
    </w:p>
    <w:p w:rsidR="00775245" w:rsidRPr="00775245" w:rsidRDefault="00775245" w:rsidP="00775245">
      <w:pPr>
        <w:keepNext/>
        <w:shd w:val="clear" w:color="auto" w:fill="FFFFFF"/>
        <w:spacing w:before="240" w:after="240" w:line="240" w:lineRule="auto"/>
        <w:textAlignment w:val="baseline"/>
        <w:outlineLvl w:val="0"/>
        <w:rPr>
          <w:rFonts w:ascii="Arial" w:eastAsia="Times New Roman" w:hAnsi="Arial" w:cs="Arial"/>
          <w:b/>
          <w:bCs/>
          <w:i/>
          <w:color w:val="00B050"/>
          <w:kern w:val="36"/>
          <w:sz w:val="24"/>
          <w:szCs w:val="38"/>
          <w:lang w:eastAsia="pt-BR"/>
        </w:rPr>
      </w:pPr>
      <w:bookmarkStart w:id="1" w:name="_Toc505334616"/>
      <w:r w:rsidRPr="00775245">
        <w:rPr>
          <w:rFonts w:ascii="Arial" w:eastAsia="Times New Roman" w:hAnsi="Arial" w:cs="Arial"/>
          <w:b/>
          <w:bCs/>
          <w:i/>
          <w:color w:val="00B050"/>
          <w:kern w:val="36"/>
          <w:sz w:val="24"/>
          <w:szCs w:val="38"/>
          <w:lang w:eastAsia="pt-BR"/>
        </w:rPr>
        <w:t>Abordagem Técnica</w:t>
      </w:r>
      <w:bookmarkEnd w:id="1"/>
    </w:p>
    <w:p w:rsidR="00775245" w:rsidRPr="00A52981" w:rsidRDefault="00775245" w:rsidP="00775245">
      <w:p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 xml:space="preserve">Ações de curto e médio prazo vigorarão no conjunto de recomendações resultante do trabalho, quando respaldadas por determinação clara expressa no planejamento estratégico de negócio da </w:t>
      </w:r>
      <w:r w:rsidR="00BE75A2" w:rsidRPr="00A52981">
        <w:rPr>
          <w:rFonts w:ascii="Arial Narrow" w:hAnsi="Arial Narrow"/>
          <w:b/>
          <w:color w:val="767171" w:themeColor="background2" w:themeShade="80"/>
          <w:sz w:val="24"/>
          <w:szCs w:val="24"/>
        </w:rPr>
        <w:t>Cristal Pigmentos</w:t>
      </w:r>
      <w:r w:rsidRPr="00A52981">
        <w:rPr>
          <w:rFonts w:ascii="Arial Narrow" w:hAnsi="Arial Narrow"/>
          <w:color w:val="767171" w:themeColor="background2" w:themeShade="80"/>
          <w:sz w:val="24"/>
          <w:szCs w:val="24"/>
        </w:rPr>
        <w:t xml:space="preserve">. </w:t>
      </w:r>
    </w:p>
    <w:p w:rsidR="00775245" w:rsidRPr="00A52981" w:rsidRDefault="00775245" w:rsidP="00775245">
      <w:p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O projeto a ser executado, envolverá análises baseadas na experiência dos consultores da Stefanini e em referências fornecidas pelas melhores práticas preceituadas (propost</w:t>
      </w:r>
      <w:r w:rsidR="00D46A18" w:rsidRPr="00A52981">
        <w:rPr>
          <w:rFonts w:ascii="Arial Narrow" w:hAnsi="Arial Narrow"/>
          <w:color w:val="767171" w:themeColor="background2" w:themeShade="80"/>
          <w:sz w:val="24"/>
          <w:szCs w:val="24"/>
        </w:rPr>
        <w:t>a</w:t>
      </w:r>
      <w:r w:rsidRPr="00A52981">
        <w:rPr>
          <w:rFonts w:ascii="Arial Narrow" w:hAnsi="Arial Narrow"/>
          <w:color w:val="767171" w:themeColor="background2" w:themeShade="80"/>
          <w:sz w:val="24"/>
          <w:szCs w:val="24"/>
        </w:rPr>
        <w:t xml:space="preserve">s pelo </w:t>
      </w:r>
      <w:proofErr w:type="spellStart"/>
      <w:r w:rsidRPr="00A52981">
        <w:rPr>
          <w:rFonts w:ascii="Arial Narrow" w:hAnsi="Arial Narrow"/>
          <w:color w:val="767171" w:themeColor="background2" w:themeShade="80"/>
          <w:sz w:val="24"/>
          <w:szCs w:val="24"/>
        </w:rPr>
        <w:t>Committee</w:t>
      </w:r>
      <w:proofErr w:type="spellEnd"/>
      <w:r w:rsidRPr="00A52981">
        <w:rPr>
          <w:rFonts w:ascii="Arial Narrow" w:hAnsi="Arial Narrow"/>
          <w:color w:val="767171" w:themeColor="background2" w:themeShade="80"/>
          <w:sz w:val="24"/>
          <w:szCs w:val="24"/>
        </w:rPr>
        <w:t xml:space="preserve"> </w:t>
      </w:r>
      <w:proofErr w:type="spellStart"/>
      <w:r w:rsidRPr="00A52981">
        <w:rPr>
          <w:rFonts w:ascii="Arial Narrow" w:hAnsi="Arial Narrow"/>
          <w:color w:val="767171" w:themeColor="background2" w:themeShade="80"/>
          <w:sz w:val="24"/>
          <w:szCs w:val="24"/>
        </w:rPr>
        <w:t>of</w:t>
      </w:r>
      <w:proofErr w:type="spellEnd"/>
      <w:r w:rsidRPr="00A52981">
        <w:rPr>
          <w:rFonts w:ascii="Arial Narrow" w:hAnsi="Arial Narrow"/>
          <w:color w:val="767171" w:themeColor="background2" w:themeShade="80"/>
          <w:sz w:val="24"/>
          <w:szCs w:val="24"/>
        </w:rPr>
        <w:t xml:space="preserve"> </w:t>
      </w:r>
      <w:proofErr w:type="spellStart"/>
      <w:r w:rsidRPr="00A52981">
        <w:rPr>
          <w:rFonts w:ascii="Arial Narrow" w:hAnsi="Arial Narrow"/>
          <w:color w:val="767171" w:themeColor="background2" w:themeShade="80"/>
          <w:sz w:val="24"/>
          <w:szCs w:val="24"/>
        </w:rPr>
        <w:t>Sponsoring</w:t>
      </w:r>
      <w:proofErr w:type="spellEnd"/>
      <w:r w:rsidRPr="00A52981">
        <w:rPr>
          <w:rFonts w:ascii="Arial Narrow" w:hAnsi="Arial Narrow"/>
          <w:color w:val="767171" w:themeColor="background2" w:themeShade="80"/>
          <w:sz w:val="24"/>
          <w:szCs w:val="24"/>
        </w:rPr>
        <w:t xml:space="preserve"> </w:t>
      </w:r>
      <w:proofErr w:type="spellStart"/>
      <w:r w:rsidRPr="00A52981">
        <w:rPr>
          <w:rFonts w:ascii="Arial Narrow" w:hAnsi="Arial Narrow"/>
          <w:color w:val="767171" w:themeColor="background2" w:themeShade="80"/>
          <w:sz w:val="24"/>
          <w:szCs w:val="24"/>
        </w:rPr>
        <w:t>Organizations</w:t>
      </w:r>
      <w:proofErr w:type="spellEnd"/>
      <w:r w:rsidRPr="00A52981">
        <w:rPr>
          <w:rFonts w:ascii="Arial Narrow" w:hAnsi="Arial Narrow"/>
          <w:color w:val="767171" w:themeColor="background2" w:themeShade="80"/>
          <w:sz w:val="24"/>
          <w:szCs w:val="24"/>
        </w:rPr>
        <w:t xml:space="preserve"> </w:t>
      </w:r>
      <w:proofErr w:type="spellStart"/>
      <w:r w:rsidRPr="00A52981">
        <w:rPr>
          <w:rFonts w:ascii="Arial Narrow" w:hAnsi="Arial Narrow"/>
          <w:color w:val="767171" w:themeColor="background2" w:themeShade="80"/>
          <w:sz w:val="24"/>
          <w:szCs w:val="24"/>
        </w:rPr>
        <w:t>of</w:t>
      </w:r>
      <w:proofErr w:type="spellEnd"/>
      <w:r w:rsidRPr="00A52981">
        <w:rPr>
          <w:rFonts w:ascii="Arial Narrow" w:hAnsi="Arial Narrow"/>
          <w:color w:val="767171" w:themeColor="background2" w:themeShade="80"/>
          <w:sz w:val="24"/>
          <w:szCs w:val="24"/>
        </w:rPr>
        <w:t xml:space="preserve"> </w:t>
      </w:r>
      <w:proofErr w:type="spellStart"/>
      <w:r w:rsidRPr="00A52981">
        <w:rPr>
          <w:rFonts w:ascii="Arial Narrow" w:hAnsi="Arial Narrow"/>
          <w:color w:val="767171" w:themeColor="background2" w:themeShade="80"/>
          <w:sz w:val="24"/>
          <w:szCs w:val="24"/>
        </w:rPr>
        <w:t>the</w:t>
      </w:r>
      <w:proofErr w:type="spellEnd"/>
      <w:r w:rsidRPr="00A52981">
        <w:rPr>
          <w:rFonts w:ascii="Arial Narrow" w:hAnsi="Arial Narrow"/>
          <w:color w:val="767171" w:themeColor="background2" w:themeShade="80"/>
          <w:sz w:val="24"/>
          <w:szCs w:val="24"/>
        </w:rPr>
        <w:t xml:space="preserve"> </w:t>
      </w:r>
      <w:proofErr w:type="spellStart"/>
      <w:r w:rsidRPr="00A52981">
        <w:rPr>
          <w:rFonts w:ascii="Arial Narrow" w:hAnsi="Arial Narrow"/>
          <w:color w:val="767171" w:themeColor="background2" w:themeShade="80"/>
          <w:sz w:val="24"/>
          <w:szCs w:val="24"/>
        </w:rPr>
        <w:t>Treadway</w:t>
      </w:r>
      <w:proofErr w:type="spellEnd"/>
      <w:r w:rsidRPr="00A52981">
        <w:rPr>
          <w:rFonts w:ascii="Arial Narrow" w:hAnsi="Arial Narrow"/>
          <w:color w:val="767171" w:themeColor="background2" w:themeShade="80"/>
          <w:sz w:val="24"/>
          <w:szCs w:val="24"/>
        </w:rPr>
        <w:t xml:space="preserve"> </w:t>
      </w:r>
      <w:proofErr w:type="spellStart"/>
      <w:r w:rsidRPr="00A52981">
        <w:rPr>
          <w:rFonts w:ascii="Arial Narrow" w:hAnsi="Arial Narrow"/>
          <w:color w:val="767171" w:themeColor="background2" w:themeShade="80"/>
          <w:sz w:val="24"/>
          <w:szCs w:val="24"/>
        </w:rPr>
        <w:t>Commission</w:t>
      </w:r>
      <w:proofErr w:type="spellEnd"/>
      <w:r w:rsidRPr="00A52981">
        <w:rPr>
          <w:rFonts w:ascii="Arial Narrow" w:hAnsi="Arial Narrow"/>
          <w:color w:val="767171" w:themeColor="background2" w:themeShade="80"/>
          <w:sz w:val="24"/>
          <w:szCs w:val="24"/>
        </w:rPr>
        <w:t xml:space="preserve"> (Coso II</w:t>
      </w:r>
      <w:r w:rsidR="00A52981" w:rsidRPr="00A52981">
        <w:rPr>
          <w:rFonts w:ascii="Arial Narrow" w:hAnsi="Arial Narrow"/>
          <w:color w:val="767171" w:themeColor="background2" w:themeShade="80"/>
          <w:sz w:val="24"/>
          <w:szCs w:val="24"/>
        </w:rPr>
        <w:t>), pela</w:t>
      </w:r>
      <w:r w:rsidRPr="00A52981">
        <w:rPr>
          <w:rFonts w:ascii="Arial Narrow" w:hAnsi="Arial Narrow"/>
          <w:color w:val="767171" w:themeColor="background2" w:themeShade="80"/>
          <w:sz w:val="24"/>
          <w:szCs w:val="24"/>
        </w:rPr>
        <w:t xml:space="preserve"> norma ISO 31.000, </w:t>
      </w:r>
      <w:proofErr w:type="spellStart"/>
      <w:r w:rsidRPr="00A52981">
        <w:rPr>
          <w:rFonts w:ascii="Arial Narrow" w:hAnsi="Arial Narrow"/>
          <w:color w:val="767171" w:themeColor="background2" w:themeShade="80"/>
          <w:sz w:val="24"/>
          <w:szCs w:val="24"/>
        </w:rPr>
        <w:t>RiskIT</w:t>
      </w:r>
      <w:proofErr w:type="spellEnd"/>
      <w:r w:rsidRPr="00A52981">
        <w:rPr>
          <w:rFonts w:ascii="Arial Narrow" w:hAnsi="Arial Narrow"/>
          <w:color w:val="767171" w:themeColor="background2" w:themeShade="80"/>
          <w:sz w:val="24"/>
          <w:szCs w:val="24"/>
        </w:rPr>
        <w:t xml:space="preserve"> (</w:t>
      </w:r>
      <w:proofErr w:type="spellStart"/>
      <w:r w:rsidRPr="00A52981">
        <w:rPr>
          <w:rFonts w:ascii="Arial Narrow" w:hAnsi="Arial Narrow"/>
          <w:color w:val="767171" w:themeColor="background2" w:themeShade="80"/>
          <w:sz w:val="24"/>
          <w:szCs w:val="24"/>
        </w:rPr>
        <w:t>CobIT</w:t>
      </w:r>
      <w:proofErr w:type="spellEnd"/>
      <w:r w:rsidRPr="00A52981">
        <w:rPr>
          <w:rFonts w:ascii="Arial Narrow" w:hAnsi="Arial Narrow"/>
          <w:color w:val="767171" w:themeColor="background2" w:themeShade="80"/>
          <w:sz w:val="24"/>
          <w:szCs w:val="24"/>
        </w:rPr>
        <w:t xml:space="preserve"> e </w:t>
      </w:r>
      <w:proofErr w:type="spellStart"/>
      <w:r w:rsidRPr="00A52981">
        <w:rPr>
          <w:rFonts w:ascii="Arial Narrow" w:hAnsi="Arial Narrow"/>
          <w:color w:val="767171" w:themeColor="background2" w:themeShade="80"/>
          <w:sz w:val="24"/>
          <w:szCs w:val="24"/>
        </w:rPr>
        <w:t>ValIT</w:t>
      </w:r>
      <w:proofErr w:type="spellEnd"/>
      <w:r w:rsidRPr="00A52981">
        <w:rPr>
          <w:rFonts w:ascii="Arial Narrow" w:hAnsi="Arial Narrow"/>
          <w:color w:val="767171" w:themeColor="background2" w:themeShade="80"/>
          <w:sz w:val="24"/>
          <w:szCs w:val="24"/>
        </w:rPr>
        <w:t xml:space="preserve">) e </w:t>
      </w:r>
      <w:proofErr w:type="spellStart"/>
      <w:r w:rsidRPr="00A52981">
        <w:rPr>
          <w:rFonts w:ascii="Arial Narrow" w:hAnsi="Arial Narrow"/>
          <w:color w:val="767171" w:themeColor="background2" w:themeShade="80"/>
          <w:sz w:val="24"/>
          <w:szCs w:val="24"/>
        </w:rPr>
        <w:t>PMboK</w:t>
      </w:r>
      <w:proofErr w:type="spellEnd"/>
      <w:r w:rsidRPr="00A52981">
        <w:rPr>
          <w:rFonts w:ascii="Arial Narrow" w:hAnsi="Arial Narrow"/>
          <w:color w:val="767171" w:themeColor="background2" w:themeShade="80"/>
          <w:sz w:val="24"/>
          <w:szCs w:val="24"/>
        </w:rPr>
        <w:t xml:space="preserve"> entre outras), nas dimensões: serviços, processos, tecnologia e pessoas.</w:t>
      </w:r>
    </w:p>
    <w:p w:rsidR="00775245" w:rsidRPr="003C1F02" w:rsidRDefault="00775245" w:rsidP="00CB67F6">
      <w:pPr>
        <w:jc w:val="both"/>
        <w:rPr>
          <w:rFonts w:ascii="Arial Narrow" w:hAnsi="Arial Narrow"/>
          <w:sz w:val="24"/>
          <w:szCs w:val="24"/>
        </w:rPr>
      </w:pPr>
    </w:p>
    <w:p w:rsidR="00D46A18" w:rsidRPr="00D46A18" w:rsidRDefault="00C54A85" w:rsidP="00D46A18">
      <w:pPr>
        <w:keepNext/>
        <w:shd w:val="clear" w:color="auto" w:fill="FFFFFF"/>
        <w:spacing w:before="240" w:after="240" w:line="240" w:lineRule="auto"/>
        <w:textAlignment w:val="baseline"/>
        <w:outlineLvl w:val="0"/>
        <w:rPr>
          <w:rFonts w:ascii="Arial" w:eastAsia="Times New Roman" w:hAnsi="Arial" w:cs="Arial"/>
          <w:b/>
          <w:bCs/>
          <w:i/>
          <w:color w:val="00B050"/>
          <w:kern w:val="36"/>
          <w:sz w:val="24"/>
          <w:szCs w:val="38"/>
          <w:lang w:eastAsia="pt-BR"/>
        </w:rPr>
      </w:pPr>
      <w:bookmarkStart w:id="2" w:name="_Toc505334633"/>
      <w:r>
        <w:rPr>
          <w:rFonts w:ascii="Arial" w:eastAsia="Times New Roman" w:hAnsi="Arial" w:cs="Arial"/>
          <w:b/>
          <w:bCs/>
          <w:i/>
          <w:color w:val="00B050"/>
          <w:kern w:val="36"/>
          <w:sz w:val="24"/>
          <w:szCs w:val="38"/>
          <w:lang w:eastAsia="pt-BR"/>
        </w:rPr>
        <w:t>Envolvimento das Capacitações</w:t>
      </w:r>
      <w:r w:rsidR="00D46A18" w:rsidRPr="00D46A18">
        <w:rPr>
          <w:rFonts w:ascii="Arial" w:eastAsia="Times New Roman" w:hAnsi="Arial" w:cs="Arial"/>
          <w:b/>
          <w:bCs/>
          <w:i/>
          <w:color w:val="00B050"/>
          <w:kern w:val="36"/>
          <w:sz w:val="24"/>
          <w:szCs w:val="38"/>
          <w:lang w:eastAsia="pt-BR"/>
        </w:rPr>
        <w:t xml:space="preserve"> </w:t>
      </w:r>
      <w:r w:rsidR="007117FD">
        <w:rPr>
          <w:rFonts w:ascii="Arial" w:eastAsia="Times New Roman" w:hAnsi="Arial" w:cs="Arial"/>
          <w:b/>
          <w:bCs/>
          <w:i/>
          <w:color w:val="00B050"/>
          <w:kern w:val="36"/>
          <w:sz w:val="24"/>
          <w:szCs w:val="38"/>
          <w:lang w:eastAsia="pt-BR"/>
        </w:rPr>
        <w:t>Stefanini</w:t>
      </w:r>
      <w:bookmarkEnd w:id="2"/>
      <w:r w:rsidR="007117FD">
        <w:rPr>
          <w:rFonts w:ascii="Arial" w:eastAsia="Times New Roman" w:hAnsi="Arial" w:cs="Arial"/>
          <w:b/>
          <w:bCs/>
          <w:i/>
          <w:color w:val="00B050"/>
          <w:kern w:val="36"/>
          <w:sz w:val="24"/>
          <w:szCs w:val="38"/>
          <w:lang w:eastAsia="pt-BR"/>
        </w:rPr>
        <w:t xml:space="preserve"> </w:t>
      </w:r>
      <w:r>
        <w:rPr>
          <w:rFonts w:ascii="Arial" w:eastAsia="Times New Roman" w:hAnsi="Arial" w:cs="Arial"/>
          <w:b/>
          <w:bCs/>
          <w:i/>
          <w:color w:val="00B050"/>
          <w:kern w:val="36"/>
          <w:sz w:val="24"/>
          <w:szCs w:val="38"/>
          <w:lang w:eastAsia="pt-BR"/>
        </w:rPr>
        <w:t>n</w:t>
      </w:r>
      <w:r w:rsidR="007117FD">
        <w:rPr>
          <w:rFonts w:ascii="Arial" w:eastAsia="Times New Roman" w:hAnsi="Arial" w:cs="Arial"/>
          <w:b/>
          <w:bCs/>
          <w:i/>
          <w:color w:val="00B050"/>
          <w:kern w:val="36"/>
          <w:sz w:val="24"/>
          <w:szCs w:val="38"/>
          <w:lang w:eastAsia="pt-BR"/>
        </w:rPr>
        <w:t>o Trabalho</w:t>
      </w:r>
    </w:p>
    <w:p w:rsidR="00D46A18" w:rsidRPr="00A52981" w:rsidRDefault="00D46A18" w:rsidP="00D46A18">
      <w:p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O Grupo Stefanini é composto por uma estrutura celular, onde cada Célula de Negócio é gerida por um Gerente de Negócios, tendo responsabilidades pelos negócios assumidos desde a entrega d</w:t>
      </w:r>
      <w:r w:rsidR="007117FD" w:rsidRPr="00A52981">
        <w:rPr>
          <w:rFonts w:ascii="Arial Narrow" w:hAnsi="Arial Narrow"/>
          <w:color w:val="767171" w:themeColor="background2" w:themeShade="80"/>
          <w:sz w:val="24"/>
          <w:szCs w:val="24"/>
        </w:rPr>
        <w:t>a</w:t>
      </w:r>
      <w:r w:rsidRPr="00A52981">
        <w:rPr>
          <w:rFonts w:ascii="Arial Narrow" w:hAnsi="Arial Narrow"/>
          <w:color w:val="767171" w:themeColor="background2" w:themeShade="80"/>
          <w:sz w:val="24"/>
          <w:szCs w:val="24"/>
        </w:rPr>
        <w:t xml:space="preserve"> proposta até a finalização dos projetos. As áreas de RH, Retaguarda Técnica e Assessoria Jurídica apoiam todas as operações da Stefanini IT </w:t>
      </w:r>
      <w:proofErr w:type="spellStart"/>
      <w:r w:rsidRPr="00A52981">
        <w:rPr>
          <w:rFonts w:ascii="Arial Narrow" w:hAnsi="Arial Narrow"/>
          <w:color w:val="767171" w:themeColor="background2" w:themeShade="80"/>
          <w:sz w:val="24"/>
          <w:szCs w:val="24"/>
        </w:rPr>
        <w:t>Solutions</w:t>
      </w:r>
      <w:proofErr w:type="spellEnd"/>
      <w:r w:rsidRPr="00A52981">
        <w:rPr>
          <w:rFonts w:ascii="Arial Narrow" w:hAnsi="Arial Narrow"/>
          <w:color w:val="767171" w:themeColor="background2" w:themeShade="80"/>
          <w:sz w:val="24"/>
          <w:szCs w:val="24"/>
        </w:rPr>
        <w:t>, com base nas diretrizes da Diretoria e Presidência do Grupo.</w:t>
      </w:r>
    </w:p>
    <w:p w:rsidR="00D46A18" w:rsidRPr="00A52981" w:rsidRDefault="00D46A18" w:rsidP="00D46A18">
      <w:p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O Gerente de Negócios é o responsável pela Gestão total do contrato dos serviços, mantendo contato direto com os gestores do cliente.</w:t>
      </w:r>
    </w:p>
    <w:p w:rsidR="00D46A18" w:rsidRPr="00A52981" w:rsidRDefault="00D46A18" w:rsidP="00D46A18">
      <w:p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 xml:space="preserve">A Gerência de Retaguarda Técnica é uma estrutura formada por Técnicos especializados </w:t>
      </w:r>
      <w:r w:rsidR="007117FD" w:rsidRPr="00A52981">
        <w:rPr>
          <w:rFonts w:ascii="Arial Narrow" w:hAnsi="Arial Narrow"/>
          <w:color w:val="767171" w:themeColor="background2" w:themeShade="80"/>
          <w:sz w:val="24"/>
          <w:szCs w:val="24"/>
        </w:rPr>
        <w:t>n</w:t>
      </w:r>
      <w:r w:rsidRPr="00A52981">
        <w:rPr>
          <w:rFonts w:ascii="Arial Narrow" w:hAnsi="Arial Narrow"/>
          <w:color w:val="767171" w:themeColor="background2" w:themeShade="80"/>
          <w:sz w:val="24"/>
          <w:szCs w:val="24"/>
        </w:rPr>
        <w:t xml:space="preserve">as várias tecnologias, metodologias e processos, e que acumulam anos de experiências em diversas empresas do mercado.  Esta equipe apoia todos os projetos da Stefanini, favorecendo a troca de experiências e a evolução </w:t>
      </w:r>
      <w:r w:rsidR="00F6002A" w:rsidRPr="00A52981">
        <w:rPr>
          <w:rFonts w:ascii="Arial Narrow" w:hAnsi="Arial Narrow"/>
          <w:color w:val="767171" w:themeColor="background2" w:themeShade="80"/>
          <w:sz w:val="24"/>
          <w:szCs w:val="24"/>
        </w:rPr>
        <w:t>d</w:t>
      </w:r>
      <w:r w:rsidRPr="00A52981">
        <w:rPr>
          <w:rFonts w:ascii="Arial Narrow" w:hAnsi="Arial Narrow"/>
          <w:color w:val="767171" w:themeColor="background2" w:themeShade="80"/>
          <w:sz w:val="24"/>
          <w:szCs w:val="24"/>
        </w:rPr>
        <w:t>o conceito de máximo aproveitamento das facilidades tecnológicas.</w:t>
      </w:r>
    </w:p>
    <w:p w:rsidR="00D46A18" w:rsidRPr="00A52981" w:rsidRDefault="00D46A18" w:rsidP="00D46A18">
      <w:p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 xml:space="preserve">O Gestor do Projeto Stefanini atua com dedicação parcial nos serviços contratados tendo </w:t>
      </w:r>
      <w:r w:rsidR="00A52981" w:rsidRPr="00A52981">
        <w:rPr>
          <w:rFonts w:ascii="Arial Narrow" w:hAnsi="Arial Narrow"/>
          <w:color w:val="767171" w:themeColor="background2" w:themeShade="80"/>
          <w:sz w:val="24"/>
          <w:szCs w:val="24"/>
        </w:rPr>
        <w:t>como principal</w:t>
      </w:r>
      <w:r w:rsidRPr="00A52981">
        <w:rPr>
          <w:rFonts w:ascii="Arial Narrow" w:hAnsi="Arial Narrow"/>
          <w:color w:val="767171" w:themeColor="background2" w:themeShade="80"/>
          <w:sz w:val="24"/>
          <w:szCs w:val="24"/>
        </w:rPr>
        <w:t xml:space="preserve"> local para desempenho de suas atividades as instalações da Stefanini. </w:t>
      </w:r>
    </w:p>
    <w:p w:rsidR="00D46A18" w:rsidRPr="00A52981" w:rsidRDefault="00D46A18" w:rsidP="00D46A18">
      <w:p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 xml:space="preserve">É este gestor que trata do gerenciamento das atividades, interagindo sempre que necessário com </w:t>
      </w:r>
      <w:r w:rsidR="00F6002A" w:rsidRPr="00A52981">
        <w:rPr>
          <w:rFonts w:ascii="Arial Narrow" w:hAnsi="Arial Narrow"/>
          <w:color w:val="767171" w:themeColor="background2" w:themeShade="80"/>
          <w:sz w:val="24"/>
          <w:szCs w:val="24"/>
        </w:rPr>
        <w:t xml:space="preserve">o corpo técnico e </w:t>
      </w:r>
      <w:r w:rsidRPr="00A52981">
        <w:rPr>
          <w:rFonts w:ascii="Arial Narrow" w:hAnsi="Arial Narrow"/>
          <w:color w:val="767171" w:themeColor="background2" w:themeShade="80"/>
          <w:sz w:val="24"/>
          <w:szCs w:val="24"/>
        </w:rPr>
        <w:t xml:space="preserve">os Gestores da </w:t>
      </w:r>
      <w:r w:rsidR="00BE75A2" w:rsidRPr="00A52981">
        <w:rPr>
          <w:rFonts w:ascii="Arial Narrow" w:hAnsi="Arial Narrow"/>
          <w:b/>
          <w:color w:val="767171" w:themeColor="background2" w:themeShade="80"/>
          <w:sz w:val="24"/>
          <w:szCs w:val="24"/>
        </w:rPr>
        <w:t>Cristal</w:t>
      </w:r>
      <w:r w:rsidRPr="00A52981">
        <w:rPr>
          <w:rFonts w:ascii="Arial Narrow" w:hAnsi="Arial Narrow"/>
          <w:color w:val="767171" w:themeColor="background2" w:themeShade="80"/>
          <w:sz w:val="24"/>
          <w:szCs w:val="24"/>
        </w:rPr>
        <w:t xml:space="preserve">, pessoalmente ou por meio das ferramentas de gestão. O acompanhamento dos serviços é feito </w:t>
      </w:r>
      <w:r w:rsidR="007117FD" w:rsidRPr="00A52981">
        <w:rPr>
          <w:rFonts w:ascii="Arial Narrow" w:hAnsi="Arial Narrow"/>
          <w:color w:val="767171" w:themeColor="background2" w:themeShade="80"/>
          <w:sz w:val="24"/>
          <w:szCs w:val="24"/>
        </w:rPr>
        <w:t xml:space="preserve">através de </w:t>
      </w:r>
      <w:r w:rsidRPr="00A52981">
        <w:rPr>
          <w:rFonts w:ascii="Arial Narrow" w:hAnsi="Arial Narrow"/>
          <w:color w:val="767171" w:themeColor="background2" w:themeShade="80"/>
          <w:sz w:val="24"/>
          <w:szCs w:val="24"/>
        </w:rPr>
        <w:t xml:space="preserve">informações </w:t>
      </w:r>
      <w:r w:rsidR="007117FD" w:rsidRPr="00A52981">
        <w:rPr>
          <w:rFonts w:ascii="Arial Narrow" w:hAnsi="Arial Narrow"/>
          <w:color w:val="767171" w:themeColor="background2" w:themeShade="80"/>
          <w:sz w:val="24"/>
          <w:szCs w:val="24"/>
        </w:rPr>
        <w:t xml:space="preserve">disponibilizadas </w:t>
      </w:r>
      <w:r w:rsidRPr="00A52981">
        <w:rPr>
          <w:rFonts w:ascii="Arial Narrow" w:hAnsi="Arial Narrow"/>
          <w:color w:val="767171" w:themeColor="background2" w:themeShade="80"/>
          <w:sz w:val="24"/>
          <w:szCs w:val="24"/>
        </w:rPr>
        <w:t>por ferramentas de gestão, a qualquer tempo e, por meio de reuniões pré-agendadas, semanais</w:t>
      </w:r>
      <w:r w:rsidR="007117FD" w:rsidRPr="00A52981">
        <w:rPr>
          <w:rFonts w:ascii="Arial Narrow" w:hAnsi="Arial Narrow"/>
          <w:color w:val="767171" w:themeColor="background2" w:themeShade="80"/>
          <w:sz w:val="24"/>
          <w:szCs w:val="24"/>
        </w:rPr>
        <w:t>,</w:t>
      </w:r>
      <w:r w:rsidRPr="00A52981">
        <w:rPr>
          <w:rFonts w:ascii="Arial Narrow" w:hAnsi="Arial Narrow"/>
          <w:color w:val="767171" w:themeColor="background2" w:themeShade="80"/>
          <w:sz w:val="24"/>
          <w:szCs w:val="24"/>
        </w:rPr>
        <w:t xml:space="preserve"> onde são tratadas </w:t>
      </w:r>
      <w:r w:rsidRPr="00A52981">
        <w:rPr>
          <w:rFonts w:ascii="Arial Narrow" w:hAnsi="Arial Narrow"/>
          <w:color w:val="767171" w:themeColor="background2" w:themeShade="80"/>
          <w:sz w:val="24"/>
          <w:szCs w:val="24"/>
        </w:rPr>
        <w:lastRenderedPageBreak/>
        <w:t xml:space="preserve">as principais ocorrências da semana e os prováveis riscos que decisões tomadas - ou a tomar – poderão acarretar, além de possibilitar o planejamento da próxima semana. </w:t>
      </w:r>
    </w:p>
    <w:p w:rsidR="00D46A18" w:rsidRDefault="007117FD" w:rsidP="00D46A18">
      <w:pPr>
        <w:jc w:val="both"/>
        <w:rPr>
          <w:rFonts w:ascii="Arial Narrow" w:hAnsi="Arial Narrow"/>
          <w:color w:val="767171" w:themeColor="background2" w:themeShade="80"/>
          <w:sz w:val="24"/>
          <w:szCs w:val="24"/>
        </w:rPr>
      </w:pPr>
      <w:r w:rsidRPr="00A52981">
        <w:rPr>
          <w:rFonts w:ascii="Arial Narrow" w:hAnsi="Arial Narrow"/>
          <w:color w:val="767171" w:themeColor="background2" w:themeShade="80"/>
          <w:sz w:val="24"/>
          <w:szCs w:val="24"/>
        </w:rPr>
        <w:t>A</w:t>
      </w:r>
      <w:r w:rsidR="00D46A18" w:rsidRPr="00A52981">
        <w:rPr>
          <w:rFonts w:ascii="Arial Narrow" w:hAnsi="Arial Narrow"/>
          <w:color w:val="767171" w:themeColor="background2" w:themeShade="80"/>
          <w:sz w:val="24"/>
          <w:szCs w:val="24"/>
        </w:rPr>
        <w:t xml:space="preserve"> boa governança dos serviços</w:t>
      </w:r>
      <w:r w:rsidR="00F6002A" w:rsidRPr="00A52981">
        <w:rPr>
          <w:rFonts w:ascii="Arial Narrow" w:hAnsi="Arial Narrow"/>
          <w:color w:val="767171" w:themeColor="background2" w:themeShade="80"/>
          <w:sz w:val="24"/>
          <w:szCs w:val="24"/>
        </w:rPr>
        <w:t xml:space="preserve"> é</w:t>
      </w:r>
      <w:r w:rsidR="00D46A18" w:rsidRPr="00A52981">
        <w:rPr>
          <w:rFonts w:ascii="Arial Narrow" w:hAnsi="Arial Narrow"/>
          <w:color w:val="767171" w:themeColor="background2" w:themeShade="80"/>
          <w:sz w:val="24"/>
          <w:szCs w:val="24"/>
        </w:rPr>
        <w:t xml:space="preserve"> conseguida pela transparência nas ações</w:t>
      </w:r>
      <w:r w:rsidR="00F6002A" w:rsidRPr="00A52981">
        <w:rPr>
          <w:rFonts w:ascii="Arial Narrow" w:hAnsi="Arial Narrow"/>
          <w:color w:val="767171" w:themeColor="background2" w:themeShade="80"/>
          <w:sz w:val="24"/>
          <w:szCs w:val="24"/>
        </w:rPr>
        <w:t>.</w:t>
      </w:r>
      <w:r w:rsidR="00D46A18" w:rsidRPr="00A52981">
        <w:rPr>
          <w:rFonts w:ascii="Arial Narrow" w:hAnsi="Arial Narrow"/>
          <w:color w:val="767171" w:themeColor="background2" w:themeShade="80"/>
          <w:sz w:val="24"/>
          <w:szCs w:val="24"/>
        </w:rPr>
        <w:t xml:space="preserve"> </w:t>
      </w:r>
      <w:r w:rsidR="00F6002A" w:rsidRPr="00A52981">
        <w:rPr>
          <w:rFonts w:ascii="Arial Narrow" w:hAnsi="Arial Narrow"/>
          <w:color w:val="767171" w:themeColor="background2" w:themeShade="80"/>
          <w:sz w:val="24"/>
          <w:szCs w:val="24"/>
        </w:rPr>
        <w:t>A</w:t>
      </w:r>
      <w:r w:rsidR="00D46A18" w:rsidRPr="00A52981">
        <w:rPr>
          <w:rFonts w:ascii="Arial Narrow" w:hAnsi="Arial Narrow"/>
          <w:color w:val="767171" w:themeColor="background2" w:themeShade="80"/>
          <w:sz w:val="24"/>
          <w:szCs w:val="24"/>
        </w:rPr>
        <w:t xml:space="preserve"> prestação de contas </w:t>
      </w:r>
      <w:r w:rsidRPr="00A52981">
        <w:rPr>
          <w:rFonts w:ascii="Arial Narrow" w:hAnsi="Arial Narrow"/>
          <w:color w:val="767171" w:themeColor="background2" w:themeShade="80"/>
          <w:sz w:val="24"/>
          <w:szCs w:val="24"/>
        </w:rPr>
        <w:t>ao cliente ocorre</w:t>
      </w:r>
      <w:r w:rsidR="00D46A18" w:rsidRPr="00A52981">
        <w:rPr>
          <w:rFonts w:ascii="Arial Narrow" w:hAnsi="Arial Narrow"/>
          <w:color w:val="767171" w:themeColor="background2" w:themeShade="80"/>
          <w:sz w:val="24"/>
          <w:szCs w:val="24"/>
        </w:rPr>
        <w:t xml:space="preserve"> por meio de reuniões pré-agendadas ou extraordinárias,</w:t>
      </w:r>
      <w:r w:rsidRPr="00A52981">
        <w:rPr>
          <w:rFonts w:ascii="Arial Narrow" w:hAnsi="Arial Narrow"/>
          <w:color w:val="767171" w:themeColor="background2" w:themeShade="80"/>
          <w:sz w:val="24"/>
          <w:szCs w:val="24"/>
        </w:rPr>
        <w:t xml:space="preserve"> e</w:t>
      </w:r>
      <w:r w:rsidR="00D46A18" w:rsidRPr="00A52981">
        <w:rPr>
          <w:rFonts w:ascii="Arial Narrow" w:hAnsi="Arial Narrow"/>
          <w:color w:val="767171" w:themeColor="background2" w:themeShade="80"/>
          <w:sz w:val="24"/>
          <w:szCs w:val="24"/>
        </w:rPr>
        <w:t xml:space="preserve"> por convocação de qualquer das partes.</w:t>
      </w:r>
    </w:p>
    <w:p w:rsidR="00017EF0" w:rsidRPr="00A52981" w:rsidRDefault="00017EF0" w:rsidP="00D46A18">
      <w:pPr>
        <w:jc w:val="both"/>
        <w:rPr>
          <w:rFonts w:ascii="Arial Narrow" w:hAnsi="Arial Narrow"/>
          <w:color w:val="767171" w:themeColor="background2" w:themeShade="80"/>
          <w:sz w:val="24"/>
          <w:szCs w:val="24"/>
        </w:rPr>
      </w:pPr>
    </w:p>
    <w:p w:rsidR="00F823AB" w:rsidRPr="00017EF0" w:rsidRDefault="00E30910" w:rsidP="00017EF0">
      <w:pPr>
        <w:keepNext/>
        <w:jc w:val="both"/>
        <w:rPr>
          <w:rFonts w:ascii="Arial Narrow" w:hAnsi="Arial Narrow"/>
          <w:b/>
          <w:bCs/>
          <w:color w:val="00B050"/>
          <w:sz w:val="28"/>
          <w:szCs w:val="28"/>
        </w:rPr>
      </w:pPr>
      <w:r w:rsidRPr="00017EF0">
        <w:rPr>
          <w:rFonts w:ascii="Arial Narrow" w:hAnsi="Arial Narrow"/>
          <w:b/>
          <w:bCs/>
          <w:color w:val="00B050"/>
          <w:sz w:val="28"/>
          <w:szCs w:val="28"/>
        </w:rPr>
        <w:t>Próximos passos</w:t>
      </w:r>
    </w:p>
    <w:p w:rsidR="00F823AB" w:rsidRPr="00A52981" w:rsidRDefault="00C54A85" w:rsidP="00033E70">
      <w:pPr>
        <w:jc w:val="both"/>
        <w:rPr>
          <w:rFonts w:ascii="Arial Narrow" w:hAnsi="Arial Narrow"/>
          <w:color w:val="767171" w:themeColor="background2" w:themeShade="80"/>
          <w:sz w:val="24"/>
          <w:szCs w:val="24"/>
        </w:rPr>
      </w:pPr>
      <w:r>
        <w:rPr>
          <w:rFonts w:ascii="Arial Narrow" w:hAnsi="Arial Narrow"/>
          <w:color w:val="767171" w:themeColor="background2" w:themeShade="80"/>
          <w:sz w:val="24"/>
          <w:szCs w:val="24"/>
        </w:rPr>
        <w:t>Submeter</w:t>
      </w:r>
      <w:r w:rsidR="00E30910" w:rsidRPr="00A52981">
        <w:rPr>
          <w:rFonts w:ascii="Arial Narrow" w:hAnsi="Arial Narrow"/>
          <w:color w:val="767171" w:themeColor="background2" w:themeShade="80"/>
          <w:sz w:val="24"/>
          <w:szCs w:val="24"/>
        </w:rPr>
        <w:t xml:space="preserve"> este MOU </w:t>
      </w:r>
      <w:r w:rsidR="00B94B87">
        <w:rPr>
          <w:rFonts w:ascii="Arial Narrow" w:hAnsi="Arial Narrow"/>
          <w:color w:val="767171" w:themeColor="background2" w:themeShade="80"/>
          <w:sz w:val="24"/>
          <w:szCs w:val="24"/>
        </w:rPr>
        <w:t>à</w:t>
      </w:r>
      <w:r w:rsidR="007117FD" w:rsidRPr="00A52981">
        <w:rPr>
          <w:rFonts w:ascii="Arial Narrow" w:hAnsi="Arial Narrow"/>
          <w:color w:val="767171" w:themeColor="background2" w:themeShade="80"/>
          <w:sz w:val="24"/>
          <w:szCs w:val="24"/>
        </w:rPr>
        <w:t xml:space="preserve"> </w:t>
      </w:r>
      <w:r w:rsidR="00BE75A2" w:rsidRPr="00A52981">
        <w:rPr>
          <w:rFonts w:ascii="Arial Narrow" w:hAnsi="Arial Narrow"/>
          <w:b/>
          <w:color w:val="767171" w:themeColor="background2" w:themeShade="80"/>
          <w:sz w:val="24"/>
          <w:szCs w:val="24"/>
        </w:rPr>
        <w:t>Cristal</w:t>
      </w:r>
      <w:r w:rsidR="007117FD" w:rsidRPr="00A52981">
        <w:rPr>
          <w:rFonts w:ascii="Arial Narrow" w:hAnsi="Arial Narrow"/>
          <w:color w:val="767171" w:themeColor="background2" w:themeShade="80"/>
          <w:sz w:val="24"/>
          <w:szCs w:val="24"/>
        </w:rPr>
        <w:t xml:space="preserve"> para </w:t>
      </w:r>
      <w:r w:rsidR="00E30910" w:rsidRPr="00A52981">
        <w:rPr>
          <w:rFonts w:ascii="Arial Narrow" w:hAnsi="Arial Narrow"/>
          <w:color w:val="767171" w:themeColor="background2" w:themeShade="80"/>
          <w:sz w:val="24"/>
          <w:szCs w:val="24"/>
        </w:rPr>
        <w:t>que seja analisado</w:t>
      </w:r>
      <w:r w:rsidR="000A1CD4" w:rsidRPr="00A52981">
        <w:rPr>
          <w:rFonts w:ascii="Arial Narrow" w:hAnsi="Arial Narrow"/>
          <w:color w:val="767171" w:themeColor="background2" w:themeShade="80"/>
          <w:sz w:val="24"/>
          <w:szCs w:val="24"/>
        </w:rPr>
        <w:t>,</w:t>
      </w:r>
      <w:r w:rsidR="00E30910" w:rsidRPr="00A52981">
        <w:rPr>
          <w:rFonts w:ascii="Arial Narrow" w:hAnsi="Arial Narrow"/>
          <w:color w:val="767171" w:themeColor="background2" w:themeShade="80"/>
          <w:sz w:val="24"/>
          <w:szCs w:val="24"/>
        </w:rPr>
        <w:t xml:space="preserve"> e agendar uma conversa de alinhamento </w:t>
      </w:r>
      <w:r w:rsidR="00CA140D" w:rsidRPr="00A52981">
        <w:rPr>
          <w:rFonts w:ascii="Arial Narrow" w:hAnsi="Arial Narrow"/>
          <w:color w:val="767171" w:themeColor="background2" w:themeShade="80"/>
          <w:sz w:val="24"/>
          <w:szCs w:val="24"/>
        </w:rPr>
        <w:t>visando</w:t>
      </w:r>
      <w:r w:rsidR="00E30910" w:rsidRPr="00A52981">
        <w:rPr>
          <w:rFonts w:ascii="Arial Narrow" w:hAnsi="Arial Narrow"/>
          <w:color w:val="767171" w:themeColor="background2" w:themeShade="80"/>
          <w:sz w:val="24"/>
          <w:szCs w:val="24"/>
        </w:rPr>
        <w:t xml:space="preserve"> </w:t>
      </w:r>
      <w:r w:rsidR="000A1CD4" w:rsidRPr="00A52981">
        <w:rPr>
          <w:rFonts w:ascii="Arial Narrow" w:hAnsi="Arial Narrow"/>
          <w:color w:val="767171" w:themeColor="background2" w:themeShade="80"/>
          <w:sz w:val="24"/>
          <w:szCs w:val="24"/>
        </w:rPr>
        <w:t>aprimorar</w:t>
      </w:r>
      <w:r w:rsidR="00824EB2" w:rsidRPr="00A52981">
        <w:rPr>
          <w:rFonts w:ascii="Arial Narrow" w:hAnsi="Arial Narrow"/>
          <w:color w:val="767171" w:themeColor="background2" w:themeShade="80"/>
          <w:sz w:val="24"/>
          <w:szCs w:val="24"/>
        </w:rPr>
        <w:t xml:space="preserve"> o entendimento </w:t>
      </w:r>
      <w:r w:rsidR="000A1CD4" w:rsidRPr="00A52981">
        <w:rPr>
          <w:rFonts w:ascii="Arial Narrow" w:hAnsi="Arial Narrow"/>
          <w:color w:val="767171" w:themeColor="background2" w:themeShade="80"/>
          <w:sz w:val="24"/>
          <w:szCs w:val="24"/>
        </w:rPr>
        <w:t xml:space="preserve">das necessidades </w:t>
      </w:r>
      <w:r w:rsidR="00824EB2" w:rsidRPr="00A52981">
        <w:rPr>
          <w:rFonts w:ascii="Arial Narrow" w:hAnsi="Arial Narrow"/>
          <w:color w:val="767171" w:themeColor="background2" w:themeShade="80"/>
          <w:sz w:val="24"/>
          <w:szCs w:val="24"/>
        </w:rPr>
        <w:t>e</w:t>
      </w:r>
      <w:r>
        <w:rPr>
          <w:rFonts w:ascii="Arial Narrow" w:hAnsi="Arial Narrow"/>
          <w:color w:val="767171" w:themeColor="background2" w:themeShade="80"/>
          <w:sz w:val="24"/>
          <w:szCs w:val="24"/>
        </w:rPr>
        <w:t>,</w:t>
      </w:r>
      <w:r w:rsidR="00824EB2" w:rsidRPr="00A52981">
        <w:rPr>
          <w:rFonts w:ascii="Arial Narrow" w:hAnsi="Arial Narrow"/>
          <w:color w:val="767171" w:themeColor="background2" w:themeShade="80"/>
          <w:sz w:val="24"/>
          <w:szCs w:val="24"/>
        </w:rPr>
        <w:t xml:space="preserve"> assim</w:t>
      </w:r>
      <w:r>
        <w:rPr>
          <w:rFonts w:ascii="Arial Narrow" w:hAnsi="Arial Narrow"/>
          <w:color w:val="767171" w:themeColor="background2" w:themeShade="80"/>
          <w:sz w:val="24"/>
          <w:szCs w:val="24"/>
        </w:rPr>
        <w:t>,</w:t>
      </w:r>
      <w:r w:rsidR="00824EB2" w:rsidRPr="00A52981">
        <w:rPr>
          <w:rFonts w:ascii="Arial Narrow" w:hAnsi="Arial Narrow"/>
          <w:color w:val="767171" w:themeColor="background2" w:themeShade="80"/>
          <w:sz w:val="24"/>
          <w:szCs w:val="24"/>
        </w:rPr>
        <w:t xml:space="preserve"> </w:t>
      </w:r>
      <w:r w:rsidR="000A1CD4" w:rsidRPr="00A52981">
        <w:rPr>
          <w:rFonts w:ascii="Arial Narrow" w:hAnsi="Arial Narrow"/>
          <w:color w:val="767171" w:themeColor="background2" w:themeShade="80"/>
          <w:sz w:val="24"/>
          <w:szCs w:val="24"/>
        </w:rPr>
        <w:t xml:space="preserve">possibilitar a </w:t>
      </w:r>
      <w:r w:rsidR="00B94B87">
        <w:rPr>
          <w:rFonts w:ascii="Arial Narrow" w:hAnsi="Arial Narrow"/>
          <w:color w:val="767171" w:themeColor="background2" w:themeShade="80"/>
          <w:sz w:val="24"/>
          <w:szCs w:val="24"/>
        </w:rPr>
        <w:t>elaboração</w:t>
      </w:r>
      <w:r w:rsidR="000A1CD4" w:rsidRPr="00A52981">
        <w:rPr>
          <w:rFonts w:ascii="Arial Narrow" w:hAnsi="Arial Narrow"/>
          <w:color w:val="767171" w:themeColor="background2" w:themeShade="80"/>
          <w:sz w:val="24"/>
          <w:szCs w:val="24"/>
        </w:rPr>
        <w:t xml:space="preserve"> de</w:t>
      </w:r>
      <w:r w:rsidR="00824EB2" w:rsidRPr="00A52981">
        <w:rPr>
          <w:rFonts w:ascii="Arial Narrow" w:hAnsi="Arial Narrow"/>
          <w:color w:val="767171" w:themeColor="background2" w:themeShade="80"/>
          <w:sz w:val="24"/>
          <w:szCs w:val="24"/>
        </w:rPr>
        <w:t xml:space="preserve"> uma proposta que atenda </w:t>
      </w:r>
      <w:r w:rsidR="000A1CD4" w:rsidRPr="00A52981">
        <w:rPr>
          <w:rFonts w:ascii="Arial Narrow" w:hAnsi="Arial Narrow"/>
          <w:color w:val="767171" w:themeColor="background2" w:themeShade="80"/>
          <w:sz w:val="24"/>
          <w:szCs w:val="24"/>
        </w:rPr>
        <w:t xml:space="preserve">adequadamente </w:t>
      </w:r>
      <w:r w:rsidR="00824EB2" w:rsidRPr="00A52981">
        <w:rPr>
          <w:rFonts w:ascii="Arial Narrow" w:hAnsi="Arial Narrow"/>
          <w:color w:val="767171" w:themeColor="background2" w:themeShade="80"/>
          <w:sz w:val="24"/>
          <w:szCs w:val="24"/>
        </w:rPr>
        <w:t xml:space="preserve">as expectativas da </w:t>
      </w:r>
      <w:r w:rsidR="00CD787C" w:rsidRPr="00A52981">
        <w:rPr>
          <w:rFonts w:ascii="Arial Narrow" w:hAnsi="Arial Narrow"/>
          <w:color w:val="767171" w:themeColor="background2" w:themeShade="80"/>
          <w:sz w:val="24"/>
          <w:szCs w:val="24"/>
        </w:rPr>
        <w:t>Companhia</w:t>
      </w:r>
      <w:r w:rsidR="004B3888" w:rsidRPr="00A52981">
        <w:rPr>
          <w:rFonts w:ascii="Arial Narrow" w:hAnsi="Arial Narrow"/>
          <w:color w:val="767171" w:themeColor="background2" w:themeShade="80"/>
          <w:sz w:val="24"/>
          <w:szCs w:val="24"/>
        </w:rPr>
        <w:t>.</w:t>
      </w:r>
    </w:p>
    <w:p w:rsidR="00BC532A" w:rsidRPr="003C1F02" w:rsidRDefault="00BC532A" w:rsidP="00BC532A">
      <w:pPr>
        <w:rPr>
          <w:rFonts w:ascii="Arial Narrow" w:hAnsi="Arial Narrow"/>
          <w:sz w:val="24"/>
          <w:szCs w:val="24"/>
        </w:rPr>
      </w:pPr>
    </w:p>
    <w:p w:rsidR="00BC532A" w:rsidRPr="003C1F02" w:rsidRDefault="00BC532A" w:rsidP="00BC532A">
      <w:pPr>
        <w:rPr>
          <w:rFonts w:ascii="Arial Narrow" w:hAnsi="Arial Narrow"/>
          <w:sz w:val="24"/>
          <w:szCs w:val="24"/>
        </w:rPr>
      </w:pPr>
    </w:p>
    <w:p w:rsidR="009E4E42" w:rsidRPr="003C1F02" w:rsidRDefault="009E4E42" w:rsidP="00C87FA1">
      <w:pPr>
        <w:pStyle w:val="Default"/>
        <w:jc w:val="both"/>
        <w:rPr>
          <w:rFonts w:ascii="Arial Narrow" w:hAnsi="Arial Narrow" w:cstheme="minorBidi"/>
          <w:color w:val="auto"/>
        </w:rPr>
      </w:pPr>
    </w:p>
    <w:sectPr w:rsidR="009E4E42" w:rsidRPr="003C1F02" w:rsidSect="00D52177">
      <w:headerReference w:type="default" r:id="rId11"/>
      <w:footerReference w:type="default" r:id="rId12"/>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8C9" w:rsidRDefault="008678C9" w:rsidP="004E1CA0">
      <w:pPr>
        <w:spacing w:after="0" w:line="240" w:lineRule="auto"/>
      </w:pPr>
      <w:r>
        <w:separator/>
      </w:r>
    </w:p>
  </w:endnote>
  <w:endnote w:type="continuationSeparator" w:id="0">
    <w:p w:rsidR="008678C9" w:rsidRDefault="008678C9" w:rsidP="004E1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9302567"/>
      <w:docPartObj>
        <w:docPartGallery w:val="Page Numbers (Bottom of Page)"/>
        <w:docPartUnique/>
      </w:docPartObj>
    </w:sdtPr>
    <w:sdtEndPr/>
    <w:sdtContent>
      <w:p w:rsidR="00524E9C" w:rsidRDefault="00524E9C">
        <w:pPr>
          <w:pStyle w:val="Rodap"/>
          <w:jc w:val="right"/>
        </w:pPr>
        <w:r>
          <w:fldChar w:fldCharType="begin"/>
        </w:r>
        <w:r>
          <w:instrText>PAGE   \* MERGEFORMAT</w:instrText>
        </w:r>
        <w:r>
          <w:fldChar w:fldCharType="separate"/>
        </w:r>
        <w:r w:rsidR="00ED1EF0">
          <w:rPr>
            <w:noProof/>
          </w:rPr>
          <w:t>6</w:t>
        </w:r>
        <w:r>
          <w:fldChar w:fldCharType="end"/>
        </w:r>
      </w:p>
    </w:sdtContent>
  </w:sdt>
  <w:p w:rsidR="00524E9C" w:rsidRDefault="00524E9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8C9" w:rsidRDefault="008678C9" w:rsidP="004E1CA0">
      <w:pPr>
        <w:spacing w:after="0" w:line="240" w:lineRule="auto"/>
      </w:pPr>
      <w:r>
        <w:separator/>
      </w:r>
    </w:p>
  </w:footnote>
  <w:footnote w:type="continuationSeparator" w:id="0">
    <w:p w:rsidR="008678C9" w:rsidRDefault="008678C9" w:rsidP="004E1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CA0" w:rsidRDefault="00E30910">
    <w:pPr>
      <w:pStyle w:val="Cabealho"/>
    </w:pPr>
    <w:r>
      <w:rPr>
        <w:noProof/>
        <w:lang w:eastAsia="pt-BR"/>
      </w:rPr>
      <w:drawing>
        <wp:anchor distT="0" distB="0" distL="114300" distR="114300" simplePos="0" relativeHeight="251658240" behindDoc="0" locked="0" layoutInCell="1" allowOverlap="1">
          <wp:simplePos x="0" y="0"/>
          <wp:positionH relativeFrom="margin">
            <wp:align>right</wp:align>
          </wp:positionH>
          <wp:positionV relativeFrom="paragraph">
            <wp:posOffset>4979</wp:posOffset>
          </wp:positionV>
          <wp:extent cx="1519660" cy="375858"/>
          <wp:effectExtent l="0" t="0" r="4445" b="571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ristal.png"/>
                  <pic:cNvPicPr/>
                </pic:nvPicPr>
                <pic:blipFill>
                  <a:blip r:embed="rId1">
                    <a:extLst>
                      <a:ext uri="{28A0092B-C50C-407E-A947-70E740481C1C}">
                        <a14:useLocalDpi xmlns:a14="http://schemas.microsoft.com/office/drawing/2010/main" val="0"/>
                      </a:ext>
                    </a:extLst>
                  </a:blip>
                  <a:stretch>
                    <a:fillRect/>
                  </a:stretch>
                </pic:blipFill>
                <pic:spPr>
                  <a:xfrm>
                    <a:off x="0" y="0"/>
                    <a:ext cx="1519660" cy="375858"/>
                  </a:xfrm>
                  <a:prstGeom prst="rect">
                    <a:avLst/>
                  </a:prstGeom>
                </pic:spPr>
              </pic:pic>
            </a:graphicData>
          </a:graphic>
          <wp14:sizeRelH relativeFrom="margin">
            <wp14:pctWidth>0</wp14:pctWidth>
          </wp14:sizeRelH>
          <wp14:sizeRelV relativeFrom="margin">
            <wp14:pctHeight>0</wp14:pctHeight>
          </wp14:sizeRelV>
        </wp:anchor>
      </w:drawing>
    </w:r>
    <w:r w:rsidR="004E1CA0" w:rsidRPr="004E1CA0">
      <w:rPr>
        <w:noProof/>
        <w:lang w:eastAsia="pt-BR"/>
      </w:rPr>
      <w:drawing>
        <wp:inline distT="0" distB="0" distL="0" distR="0" wp14:anchorId="46B1327C" wp14:editId="16EA89E7">
          <wp:extent cx="1276350" cy="26994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4251" cy="273733"/>
                  </a:xfrm>
                  <a:prstGeom prst="rect">
                    <a:avLst/>
                  </a:prstGeom>
                  <a:noFill/>
                  <a:ln>
                    <a:noFill/>
                  </a:ln>
                </pic:spPr>
              </pic:pic>
            </a:graphicData>
          </a:graphic>
        </wp:inline>
      </w:drawing>
    </w:r>
    <w:r w:rsidR="00B81668">
      <w:tab/>
    </w:r>
    <w:r w:rsidR="00B81668">
      <w:tab/>
    </w:r>
  </w:p>
  <w:p w:rsidR="004E1CA0" w:rsidRDefault="00BE75A2" w:rsidP="004E1CA0">
    <w:pPr>
      <w:pStyle w:val="Default"/>
      <w:rPr>
        <w:i/>
        <w:iCs/>
        <w:sz w:val="20"/>
        <w:szCs w:val="20"/>
        <w:lang w:val="en-US"/>
      </w:rPr>
    </w:pPr>
    <w:r w:rsidRPr="00BE75A2">
      <w:rPr>
        <w:b/>
        <w:i/>
        <w:iCs/>
        <w:sz w:val="20"/>
        <w:szCs w:val="20"/>
        <w:lang w:val="en-US"/>
      </w:rPr>
      <w:t>CRISTAL</w:t>
    </w:r>
    <w:r w:rsidR="006905CA">
      <w:rPr>
        <w:i/>
        <w:iCs/>
        <w:sz w:val="20"/>
        <w:szCs w:val="20"/>
        <w:lang w:val="en-US"/>
      </w:rPr>
      <w:t xml:space="preserve"> </w:t>
    </w:r>
    <w:r w:rsidR="009E4E42" w:rsidRPr="009E4E42">
      <w:rPr>
        <w:i/>
        <w:iCs/>
        <w:sz w:val="20"/>
        <w:szCs w:val="20"/>
        <w:lang w:val="en-US"/>
      </w:rPr>
      <w:t>- MOU (Memorandum of Understanding)</w:t>
    </w:r>
    <w:r w:rsidR="00BC532A">
      <w:rPr>
        <w:i/>
        <w:iCs/>
        <w:sz w:val="20"/>
        <w:szCs w:val="20"/>
        <w:lang w:val="en-US"/>
      </w:rPr>
      <w:t xml:space="preserve"> – </w:t>
    </w:r>
    <w:proofErr w:type="spellStart"/>
    <w:r w:rsidR="00BC532A" w:rsidRPr="00B86337">
      <w:rPr>
        <w:i/>
        <w:iCs/>
        <w:sz w:val="20"/>
        <w:szCs w:val="20"/>
        <w:lang w:val="en-US"/>
      </w:rPr>
      <w:t>Versão</w:t>
    </w:r>
    <w:proofErr w:type="spellEnd"/>
    <w:r w:rsidR="00BC532A">
      <w:rPr>
        <w:i/>
        <w:iCs/>
        <w:sz w:val="20"/>
        <w:szCs w:val="20"/>
        <w:lang w:val="en-US"/>
      </w:rPr>
      <w:t xml:space="preserve"> 01</w:t>
    </w:r>
  </w:p>
  <w:p w:rsidR="00BC532A" w:rsidRPr="009E4E42" w:rsidRDefault="00BC532A" w:rsidP="004E1CA0">
    <w:pPr>
      <w:pStyle w:val="Default"/>
      <w:rPr>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F27EF"/>
    <w:multiLevelType w:val="hybridMultilevel"/>
    <w:tmpl w:val="6498822A"/>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 w15:restartNumberingAfterBreak="0">
    <w:nsid w:val="1819369E"/>
    <w:multiLevelType w:val="hybridMultilevel"/>
    <w:tmpl w:val="3662B8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82C7BBE"/>
    <w:multiLevelType w:val="multilevel"/>
    <w:tmpl w:val="06BCA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950B1"/>
    <w:multiLevelType w:val="multilevel"/>
    <w:tmpl w:val="B6CA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B08CD"/>
    <w:multiLevelType w:val="multilevel"/>
    <w:tmpl w:val="BCE2D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037F6D"/>
    <w:multiLevelType w:val="multilevel"/>
    <w:tmpl w:val="76D4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902E7"/>
    <w:multiLevelType w:val="multilevel"/>
    <w:tmpl w:val="19F40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C3A36"/>
    <w:multiLevelType w:val="multilevel"/>
    <w:tmpl w:val="ADDC53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B86642B"/>
    <w:multiLevelType w:val="multilevel"/>
    <w:tmpl w:val="1452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EB42FE"/>
    <w:multiLevelType w:val="multilevel"/>
    <w:tmpl w:val="B52E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A49B3"/>
    <w:multiLevelType w:val="hybridMultilevel"/>
    <w:tmpl w:val="7846BA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60758A7"/>
    <w:multiLevelType w:val="hybridMultilevel"/>
    <w:tmpl w:val="28C67F92"/>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4F4724A7"/>
    <w:multiLevelType w:val="hybridMultilevel"/>
    <w:tmpl w:val="AB9C0D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1FC6753"/>
    <w:multiLevelType w:val="multilevel"/>
    <w:tmpl w:val="6CD6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6625E7"/>
    <w:multiLevelType w:val="hybridMultilevel"/>
    <w:tmpl w:val="6E5C59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49C7532"/>
    <w:multiLevelType w:val="hybridMultilevel"/>
    <w:tmpl w:val="B3C8AD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DFD2AFB"/>
    <w:multiLevelType w:val="hybridMultilevel"/>
    <w:tmpl w:val="10143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E1A7833"/>
    <w:multiLevelType w:val="hybridMultilevel"/>
    <w:tmpl w:val="373C7AA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7"/>
  </w:num>
  <w:num w:numId="4">
    <w:abstractNumId w:val="1"/>
  </w:num>
  <w:num w:numId="5">
    <w:abstractNumId w:val="12"/>
  </w:num>
  <w:num w:numId="6">
    <w:abstractNumId w:val="0"/>
  </w:num>
  <w:num w:numId="7">
    <w:abstractNumId w:val="4"/>
  </w:num>
  <w:num w:numId="8">
    <w:abstractNumId w:val="5"/>
  </w:num>
  <w:num w:numId="9">
    <w:abstractNumId w:val="3"/>
  </w:num>
  <w:num w:numId="10">
    <w:abstractNumId w:val="8"/>
  </w:num>
  <w:num w:numId="11">
    <w:abstractNumId w:val="9"/>
  </w:num>
  <w:num w:numId="12">
    <w:abstractNumId w:val="13"/>
  </w:num>
  <w:num w:numId="13">
    <w:abstractNumId w:val="6"/>
  </w:num>
  <w:num w:numId="14">
    <w:abstractNumId w:val="2"/>
  </w:num>
  <w:num w:numId="15">
    <w:abstractNumId w:val="10"/>
  </w:num>
  <w:num w:numId="16">
    <w:abstractNumId w:val="14"/>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CA0"/>
    <w:rsid w:val="00017EF0"/>
    <w:rsid w:val="00020F37"/>
    <w:rsid w:val="00033E70"/>
    <w:rsid w:val="00041AD7"/>
    <w:rsid w:val="000506D3"/>
    <w:rsid w:val="000508A9"/>
    <w:rsid w:val="000A1CD4"/>
    <w:rsid w:val="000A5D98"/>
    <w:rsid w:val="000B26C9"/>
    <w:rsid w:val="000C0026"/>
    <w:rsid w:val="000C428C"/>
    <w:rsid w:val="000C54FA"/>
    <w:rsid w:val="000E1EA2"/>
    <w:rsid w:val="000E48EB"/>
    <w:rsid w:val="00114C1C"/>
    <w:rsid w:val="0012417B"/>
    <w:rsid w:val="001271F3"/>
    <w:rsid w:val="00130DE9"/>
    <w:rsid w:val="001333AD"/>
    <w:rsid w:val="00136710"/>
    <w:rsid w:val="00141C28"/>
    <w:rsid w:val="00145968"/>
    <w:rsid w:val="00152301"/>
    <w:rsid w:val="001611EF"/>
    <w:rsid w:val="00173C13"/>
    <w:rsid w:val="001901D2"/>
    <w:rsid w:val="00196946"/>
    <w:rsid w:val="001A3D4D"/>
    <w:rsid w:val="001A6087"/>
    <w:rsid w:val="001C2886"/>
    <w:rsid w:val="001D309E"/>
    <w:rsid w:val="001F6B38"/>
    <w:rsid w:val="00213EB3"/>
    <w:rsid w:val="00215FEA"/>
    <w:rsid w:val="00216582"/>
    <w:rsid w:val="00222F7C"/>
    <w:rsid w:val="00234BB3"/>
    <w:rsid w:val="00236AE1"/>
    <w:rsid w:val="00242535"/>
    <w:rsid w:val="002467D1"/>
    <w:rsid w:val="00252E40"/>
    <w:rsid w:val="002579C2"/>
    <w:rsid w:val="00274369"/>
    <w:rsid w:val="00275346"/>
    <w:rsid w:val="00286E71"/>
    <w:rsid w:val="002870B3"/>
    <w:rsid w:val="002B2714"/>
    <w:rsid w:val="002B7C2D"/>
    <w:rsid w:val="002C42E3"/>
    <w:rsid w:val="002D4335"/>
    <w:rsid w:val="002D5701"/>
    <w:rsid w:val="002D60E2"/>
    <w:rsid w:val="002E3403"/>
    <w:rsid w:val="00306725"/>
    <w:rsid w:val="00315CAA"/>
    <w:rsid w:val="00317E96"/>
    <w:rsid w:val="0032013D"/>
    <w:rsid w:val="00326EA0"/>
    <w:rsid w:val="003334BC"/>
    <w:rsid w:val="00335AD3"/>
    <w:rsid w:val="00340EB3"/>
    <w:rsid w:val="00356C90"/>
    <w:rsid w:val="00365300"/>
    <w:rsid w:val="003735B9"/>
    <w:rsid w:val="00390EF4"/>
    <w:rsid w:val="003B422B"/>
    <w:rsid w:val="003C1F02"/>
    <w:rsid w:val="003D0F2D"/>
    <w:rsid w:val="003D7643"/>
    <w:rsid w:val="003E005D"/>
    <w:rsid w:val="003F6907"/>
    <w:rsid w:val="00400743"/>
    <w:rsid w:val="004040B1"/>
    <w:rsid w:val="00404BD8"/>
    <w:rsid w:val="00426DC8"/>
    <w:rsid w:val="004339F4"/>
    <w:rsid w:val="00443E61"/>
    <w:rsid w:val="00455E1E"/>
    <w:rsid w:val="00457FC3"/>
    <w:rsid w:val="00461EB0"/>
    <w:rsid w:val="004625AF"/>
    <w:rsid w:val="004630A9"/>
    <w:rsid w:val="00466A1B"/>
    <w:rsid w:val="00475986"/>
    <w:rsid w:val="00481B1F"/>
    <w:rsid w:val="00491A5A"/>
    <w:rsid w:val="00494AF5"/>
    <w:rsid w:val="004A1D9B"/>
    <w:rsid w:val="004B3888"/>
    <w:rsid w:val="004C49EF"/>
    <w:rsid w:val="004E1CA0"/>
    <w:rsid w:val="004F2824"/>
    <w:rsid w:val="004F67EA"/>
    <w:rsid w:val="004F7ABC"/>
    <w:rsid w:val="00512754"/>
    <w:rsid w:val="0052322E"/>
    <w:rsid w:val="00524E9C"/>
    <w:rsid w:val="00527FC0"/>
    <w:rsid w:val="005376EC"/>
    <w:rsid w:val="00542139"/>
    <w:rsid w:val="00543C86"/>
    <w:rsid w:val="00570B98"/>
    <w:rsid w:val="005951E6"/>
    <w:rsid w:val="00597B35"/>
    <w:rsid w:val="005A3769"/>
    <w:rsid w:val="005B45AD"/>
    <w:rsid w:val="005B7B96"/>
    <w:rsid w:val="005C12DC"/>
    <w:rsid w:val="005C4C91"/>
    <w:rsid w:val="005E7623"/>
    <w:rsid w:val="00600EAB"/>
    <w:rsid w:val="006224E0"/>
    <w:rsid w:val="0062301D"/>
    <w:rsid w:val="006266C1"/>
    <w:rsid w:val="00650A95"/>
    <w:rsid w:val="0065294E"/>
    <w:rsid w:val="006560D1"/>
    <w:rsid w:val="00660097"/>
    <w:rsid w:val="00680E82"/>
    <w:rsid w:val="00683F4D"/>
    <w:rsid w:val="006905CA"/>
    <w:rsid w:val="006D09BB"/>
    <w:rsid w:val="006F54DD"/>
    <w:rsid w:val="007111E6"/>
    <w:rsid w:val="007117FD"/>
    <w:rsid w:val="0071398F"/>
    <w:rsid w:val="0075361B"/>
    <w:rsid w:val="00775245"/>
    <w:rsid w:val="0077771B"/>
    <w:rsid w:val="00781529"/>
    <w:rsid w:val="007907EC"/>
    <w:rsid w:val="00794B1A"/>
    <w:rsid w:val="0079731D"/>
    <w:rsid w:val="007A0A00"/>
    <w:rsid w:val="007D1628"/>
    <w:rsid w:val="007E3AD6"/>
    <w:rsid w:val="007E5D5A"/>
    <w:rsid w:val="008246F5"/>
    <w:rsid w:val="00824EB2"/>
    <w:rsid w:val="008325C3"/>
    <w:rsid w:val="00852AF2"/>
    <w:rsid w:val="00866DA5"/>
    <w:rsid w:val="008678C9"/>
    <w:rsid w:val="00880200"/>
    <w:rsid w:val="00882F35"/>
    <w:rsid w:val="00891D79"/>
    <w:rsid w:val="008927DF"/>
    <w:rsid w:val="00893551"/>
    <w:rsid w:val="008A7B02"/>
    <w:rsid w:val="008B435E"/>
    <w:rsid w:val="008C5F47"/>
    <w:rsid w:val="008D0477"/>
    <w:rsid w:val="008E118C"/>
    <w:rsid w:val="008E2326"/>
    <w:rsid w:val="008F3EFB"/>
    <w:rsid w:val="008F61C2"/>
    <w:rsid w:val="00903642"/>
    <w:rsid w:val="00904464"/>
    <w:rsid w:val="009066D5"/>
    <w:rsid w:val="00911B16"/>
    <w:rsid w:val="0091612A"/>
    <w:rsid w:val="0092010B"/>
    <w:rsid w:val="00923162"/>
    <w:rsid w:val="00932EC4"/>
    <w:rsid w:val="00942D1B"/>
    <w:rsid w:val="009431FE"/>
    <w:rsid w:val="00953301"/>
    <w:rsid w:val="009664D2"/>
    <w:rsid w:val="00976461"/>
    <w:rsid w:val="00990B81"/>
    <w:rsid w:val="00992A3D"/>
    <w:rsid w:val="00993CE5"/>
    <w:rsid w:val="00997D39"/>
    <w:rsid w:val="009A2F22"/>
    <w:rsid w:val="009C5D74"/>
    <w:rsid w:val="009D1DA4"/>
    <w:rsid w:val="009E4E42"/>
    <w:rsid w:val="00A00CE3"/>
    <w:rsid w:val="00A03022"/>
    <w:rsid w:val="00A273B1"/>
    <w:rsid w:val="00A4099E"/>
    <w:rsid w:val="00A40C9D"/>
    <w:rsid w:val="00A41EC2"/>
    <w:rsid w:val="00A4481C"/>
    <w:rsid w:val="00A52981"/>
    <w:rsid w:val="00A57473"/>
    <w:rsid w:val="00A71FFF"/>
    <w:rsid w:val="00A77AB3"/>
    <w:rsid w:val="00AA0ED0"/>
    <w:rsid w:val="00AA53F6"/>
    <w:rsid w:val="00AA5999"/>
    <w:rsid w:val="00AA5E37"/>
    <w:rsid w:val="00AB685C"/>
    <w:rsid w:val="00AC3819"/>
    <w:rsid w:val="00AC4A5F"/>
    <w:rsid w:val="00AD2AE0"/>
    <w:rsid w:val="00AE165E"/>
    <w:rsid w:val="00AE5E4E"/>
    <w:rsid w:val="00AE65EF"/>
    <w:rsid w:val="00AF1C15"/>
    <w:rsid w:val="00AF5B38"/>
    <w:rsid w:val="00B07BB0"/>
    <w:rsid w:val="00B12501"/>
    <w:rsid w:val="00B131CA"/>
    <w:rsid w:val="00B1332B"/>
    <w:rsid w:val="00B13354"/>
    <w:rsid w:val="00B225D8"/>
    <w:rsid w:val="00B25347"/>
    <w:rsid w:val="00B309E0"/>
    <w:rsid w:val="00B34212"/>
    <w:rsid w:val="00B447D1"/>
    <w:rsid w:val="00B45929"/>
    <w:rsid w:val="00B56B0F"/>
    <w:rsid w:val="00B60392"/>
    <w:rsid w:val="00B71962"/>
    <w:rsid w:val="00B80D98"/>
    <w:rsid w:val="00B81668"/>
    <w:rsid w:val="00B8603F"/>
    <w:rsid w:val="00B86337"/>
    <w:rsid w:val="00B949EE"/>
    <w:rsid w:val="00B94B87"/>
    <w:rsid w:val="00BC532A"/>
    <w:rsid w:val="00BE75A2"/>
    <w:rsid w:val="00C029CB"/>
    <w:rsid w:val="00C0484B"/>
    <w:rsid w:val="00C116B8"/>
    <w:rsid w:val="00C20607"/>
    <w:rsid w:val="00C261A7"/>
    <w:rsid w:val="00C40BA6"/>
    <w:rsid w:val="00C47893"/>
    <w:rsid w:val="00C54A85"/>
    <w:rsid w:val="00C62C61"/>
    <w:rsid w:val="00C678E0"/>
    <w:rsid w:val="00C7603E"/>
    <w:rsid w:val="00C77CCC"/>
    <w:rsid w:val="00C82095"/>
    <w:rsid w:val="00C83C10"/>
    <w:rsid w:val="00C84F34"/>
    <w:rsid w:val="00C87FA1"/>
    <w:rsid w:val="00C960C1"/>
    <w:rsid w:val="00CA140D"/>
    <w:rsid w:val="00CB67F6"/>
    <w:rsid w:val="00CD290B"/>
    <w:rsid w:val="00CD787C"/>
    <w:rsid w:val="00CF242C"/>
    <w:rsid w:val="00D06754"/>
    <w:rsid w:val="00D06882"/>
    <w:rsid w:val="00D12914"/>
    <w:rsid w:val="00D147D1"/>
    <w:rsid w:val="00D21EE5"/>
    <w:rsid w:val="00D22999"/>
    <w:rsid w:val="00D24AC9"/>
    <w:rsid w:val="00D44C52"/>
    <w:rsid w:val="00D46A18"/>
    <w:rsid w:val="00D52177"/>
    <w:rsid w:val="00D52909"/>
    <w:rsid w:val="00D606D7"/>
    <w:rsid w:val="00D637E4"/>
    <w:rsid w:val="00D73154"/>
    <w:rsid w:val="00D80D13"/>
    <w:rsid w:val="00D9066D"/>
    <w:rsid w:val="00D96A0E"/>
    <w:rsid w:val="00D96B20"/>
    <w:rsid w:val="00DB78B7"/>
    <w:rsid w:val="00DD1F48"/>
    <w:rsid w:val="00DE6948"/>
    <w:rsid w:val="00E12CD4"/>
    <w:rsid w:val="00E13DC5"/>
    <w:rsid w:val="00E14EF2"/>
    <w:rsid w:val="00E17809"/>
    <w:rsid w:val="00E2289E"/>
    <w:rsid w:val="00E25212"/>
    <w:rsid w:val="00E30910"/>
    <w:rsid w:val="00E546D3"/>
    <w:rsid w:val="00E76027"/>
    <w:rsid w:val="00E83E2D"/>
    <w:rsid w:val="00E938B6"/>
    <w:rsid w:val="00E95EDB"/>
    <w:rsid w:val="00EB386C"/>
    <w:rsid w:val="00EB3A09"/>
    <w:rsid w:val="00EB3BAA"/>
    <w:rsid w:val="00EC516E"/>
    <w:rsid w:val="00ED1EF0"/>
    <w:rsid w:val="00ED36A7"/>
    <w:rsid w:val="00EE12CC"/>
    <w:rsid w:val="00EF093F"/>
    <w:rsid w:val="00F0135D"/>
    <w:rsid w:val="00F018EC"/>
    <w:rsid w:val="00F062E7"/>
    <w:rsid w:val="00F3328A"/>
    <w:rsid w:val="00F40F14"/>
    <w:rsid w:val="00F5545C"/>
    <w:rsid w:val="00F6002A"/>
    <w:rsid w:val="00F633B5"/>
    <w:rsid w:val="00F77871"/>
    <w:rsid w:val="00F823AB"/>
    <w:rsid w:val="00F96CBC"/>
    <w:rsid w:val="00FA4551"/>
    <w:rsid w:val="00FB7C69"/>
    <w:rsid w:val="00FD2A68"/>
    <w:rsid w:val="00FE126B"/>
    <w:rsid w:val="00FE1E7D"/>
    <w:rsid w:val="00FF413E"/>
    <w:rsid w:val="00FF4A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0739B"/>
  <w15:docId w15:val="{CA0E2BF3-9848-4E8D-8D5A-F5604555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3AB"/>
  </w:style>
  <w:style w:type="paragraph" w:styleId="Ttulo1">
    <w:name w:val="heading 1"/>
    <w:basedOn w:val="Normal"/>
    <w:link w:val="Ttulo1Char"/>
    <w:uiPriority w:val="9"/>
    <w:qFormat/>
    <w:rsid w:val="007139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7752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4E1CA0"/>
    <w:pPr>
      <w:autoSpaceDE w:val="0"/>
      <w:autoSpaceDN w:val="0"/>
      <w:adjustRightInd w:val="0"/>
      <w:spacing w:after="0" w:line="240" w:lineRule="auto"/>
    </w:pPr>
    <w:rPr>
      <w:rFonts w:ascii="Calibri" w:hAnsi="Calibri" w:cs="Calibri"/>
      <w:color w:val="000000"/>
      <w:sz w:val="24"/>
      <w:szCs w:val="24"/>
    </w:rPr>
  </w:style>
  <w:style w:type="paragraph" w:styleId="Cabealho">
    <w:name w:val="header"/>
    <w:basedOn w:val="Normal"/>
    <w:link w:val="CabealhoChar"/>
    <w:uiPriority w:val="99"/>
    <w:unhideWhenUsed/>
    <w:rsid w:val="004E1CA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E1CA0"/>
  </w:style>
  <w:style w:type="paragraph" w:styleId="Rodap">
    <w:name w:val="footer"/>
    <w:basedOn w:val="Normal"/>
    <w:link w:val="RodapChar"/>
    <w:uiPriority w:val="99"/>
    <w:unhideWhenUsed/>
    <w:rsid w:val="004E1CA0"/>
    <w:pPr>
      <w:tabs>
        <w:tab w:val="center" w:pos="4252"/>
        <w:tab w:val="right" w:pos="8504"/>
      </w:tabs>
      <w:spacing w:after="0" w:line="240" w:lineRule="auto"/>
    </w:pPr>
  </w:style>
  <w:style w:type="character" w:customStyle="1" w:styleId="RodapChar">
    <w:name w:val="Rodapé Char"/>
    <w:basedOn w:val="Fontepargpadro"/>
    <w:link w:val="Rodap"/>
    <w:uiPriority w:val="99"/>
    <w:rsid w:val="004E1CA0"/>
  </w:style>
  <w:style w:type="paragraph" w:styleId="PargrafodaLista">
    <w:name w:val="List Paragraph"/>
    <w:basedOn w:val="Normal"/>
    <w:uiPriority w:val="34"/>
    <w:qFormat/>
    <w:rsid w:val="00481B1F"/>
    <w:pPr>
      <w:ind w:left="720"/>
      <w:contextualSpacing/>
    </w:pPr>
  </w:style>
  <w:style w:type="paragraph" w:styleId="Textodebalo">
    <w:name w:val="Balloon Text"/>
    <w:basedOn w:val="Normal"/>
    <w:link w:val="TextodebaloChar"/>
    <w:uiPriority w:val="99"/>
    <w:semiHidden/>
    <w:unhideWhenUsed/>
    <w:rsid w:val="003D0F2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D0F2D"/>
    <w:rPr>
      <w:rFonts w:ascii="Tahoma" w:hAnsi="Tahoma" w:cs="Tahoma"/>
      <w:sz w:val="16"/>
      <w:szCs w:val="16"/>
    </w:rPr>
  </w:style>
  <w:style w:type="paragraph" w:styleId="SemEspaamento">
    <w:name w:val="No Spacing"/>
    <w:link w:val="SemEspaamentoChar"/>
    <w:uiPriority w:val="1"/>
    <w:qFormat/>
    <w:rsid w:val="000E48EB"/>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0E48EB"/>
    <w:rPr>
      <w:rFonts w:eastAsiaTheme="minorEastAsia"/>
      <w:lang w:eastAsia="pt-BR"/>
    </w:rPr>
  </w:style>
  <w:style w:type="character" w:customStyle="1" w:styleId="Ttulo1Char">
    <w:name w:val="Título 1 Char"/>
    <w:basedOn w:val="Fontepargpadro"/>
    <w:link w:val="Ttulo1"/>
    <w:uiPriority w:val="9"/>
    <w:rsid w:val="0071398F"/>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71398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1398F"/>
    <w:rPr>
      <w:b/>
      <w:bCs/>
    </w:rPr>
  </w:style>
  <w:style w:type="character" w:customStyle="1" w:styleId="Ttulo2Char">
    <w:name w:val="Título 2 Char"/>
    <w:basedOn w:val="Fontepargpadro"/>
    <w:link w:val="Ttulo2"/>
    <w:uiPriority w:val="9"/>
    <w:semiHidden/>
    <w:rsid w:val="0077524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638949">
      <w:bodyDiv w:val="1"/>
      <w:marLeft w:val="0"/>
      <w:marRight w:val="0"/>
      <w:marTop w:val="0"/>
      <w:marBottom w:val="0"/>
      <w:divBdr>
        <w:top w:val="none" w:sz="0" w:space="0" w:color="auto"/>
        <w:left w:val="none" w:sz="0" w:space="0" w:color="auto"/>
        <w:bottom w:val="none" w:sz="0" w:space="0" w:color="auto"/>
        <w:right w:val="none" w:sz="0" w:space="0" w:color="auto"/>
      </w:divBdr>
    </w:div>
    <w:div w:id="1383603425">
      <w:bodyDiv w:val="1"/>
      <w:marLeft w:val="0"/>
      <w:marRight w:val="0"/>
      <w:marTop w:val="0"/>
      <w:marBottom w:val="0"/>
      <w:divBdr>
        <w:top w:val="none" w:sz="0" w:space="0" w:color="auto"/>
        <w:left w:val="none" w:sz="0" w:space="0" w:color="auto"/>
        <w:bottom w:val="none" w:sz="0" w:space="0" w:color="auto"/>
        <w:right w:val="none" w:sz="0" w:space="0" w:color="auto"/>
      </w:divBdr>
    </w:div>
    <w:div w:id="1702894547">
      <w:bodyDiv w:val="1"/>
      <w:marLeft w:val="0"/>
      <w:marRight w:val="0"/>
      <w:marTop w:val="0"/>
      <w:marBottom w:val="0"/>
      <w:divBdr>
        <w:top w:val="none" w:sz="0" w:space="0" w:color="auto"/>
        <w:left w:val="none" w:sz="0" w:space="0" w:color="auto"/>
        <w:bottom w:val="none" w:sz="0" w:space="0" w:color="auto"/>
        <w:right w:val="none" w:sz="0" w:space="0" w:color="auto"/>
      </w:divBdr>
      <w:divsChild>
        <w:div w:id="2063285336">
          <w:marLeft w:val="0"/>
          <w:marRight w:val="0"/>
          <w:marTop w:val="0"/>
          <w:marBottom w:val="0"/>
          <w:divBdr>
            <w:top w:val="none" w:sz="0" w:space="0" w:color="auto"/>
            <w:left w:val="none" w:sz="0" w:space="0" w:color="auto"/>
            <w:bottom w:val="none" w:sz="0" w:space="0" w:color="auto"/>
            <w:right w:val="none" w:sz="0" w:space="0" w:color="auto"/>
          </w:divBdr>
        </w:div>
        <w:div w:id="87848724">
          <w:marLeft w:val="0"/>
          <w:marRight w:val="0"/>
          <w:marTop w:val="0"/>
          <w:marBottom w:val="0"/>
          <w:divBdr>
            <w:top w:val="none" w:sz="0" w:space="0" w:color="auto"/>
            <w:left w:val="none" w:sz="0" w:space="0" w:color="auto"/>
            <w:bottom w:val="none" w:sz="0" w:space="0" w:color="auto"/>
            <w:right w:val="none" w:sz="0" w:space="0" w:color="auto"/>
          </w:divBdr>
        </w:div>
        <w:div w:id="1518228133">
          <w:marLeft w:val="0"/>
          <w:marRight w:val="0"/>
          <w:marTop w:val="0"/>
          <w:marBottom w:val="0"/>
          <w:divBdr>
            <w:top w:val="none" w:sz="0" w:space="0" w:color="auto"/>
            <w:left w:val="none" w:sz="0" w:space="0" w:color="auto"/>
            <w:bottom w:val="none" w:sz="0" w:space="0" w:color="auto"/>
            <w:right w:val="none" w:sz="0" w:space="0" w:color="auto"/>
          </w:divBdr>
        </w:div>
        <w:div w:id="430665247">
          <w:marLeft w:val="0"/>
          <w:marRight w:val="0"/>
          <w:marTop w:val="0"/>
          <w:marBottom w:val="0"/>
          <w:divBdr>
            <w:top w:val="none" w:sz="0" w:space="0" w:color="auto"/>
            <w:left w:val="none" w:sz="0" w:space="0" w:color="auto"/>
            <w:bottom w:val="none" w:sz="0" w:space="0" w:color="auto"/>
            <w:right w:val="none" w:sz="0" w:space="0" w:color="auto"/>
          </w:divBdr>
          <w:divsChild>
            <w:div w:id="754277259">
              <w:marLeft w:val="0"/>
              <w:marRight w:val="0"/>
              <w:marTop w:val="0"/>
              <w:marBottom w:val="0"/>
              <w:divBdr>
                <w:top w:val="none" w:sz="0" w:space="0" w:color="auto"/>
                <w:left w:val="none" w:sz="0" w:space="0" w:color="auto"/>
                <w:bottom w:val="none" w:sz="0" w:space="0" w:color="auto"/>
                <w:right w:val="none" w:sz="0" w:space="0" w:color="auto"/>
              </w:divBdr>
            </w:div>
          </w:divsChild>
        </w:div>
        <w:div w:id="1268275420">
          <w:marLeft w:val="0"/>
          <w:marRight w:val="0"/>
          <w:marTop w:val="0"/>
          <w:marBottom w:val="0"/>
          <w:divBdr>
            <w:top w:val="none" w:sz="0" w:space="0" w:color="auto"/>
            <w:left w:val="none" w:sz="0" w:space="0" w:color="auto"/>
            <w:bottom w:val="none" w:sz="0" w:space="0" w:color="auto"/>
            <w:right w:val="none" w:sz="0" w:space="0" w:color="auto"/>
          </w:divBdr>
        </w:div>
        <w:div w:id="2118018946">
          <w:marLeft w:val="0"/>
          <w:marRight w:val="0"/>
          <w:marTop w:val="0"/>
          <w:marBottom w:val="0"/>
          <w:divBdr>
            <w:top w:val="none" w:sz="0" w:space="0" w:color="auto"/>
            <w:left w:val="none" w:sz="0" w:space="0" w:color="auto"/>
            <w:bottom w:val="none" w:sz="0" w:space="0" w:color="auto"/>
            <w:right w:val="none" w:sz="0" w:space="0" w:color="auto"/>
          </w:divBdr>
        </w:div>
        <w:div w:id="106119294">
          <w:marLeft w:val="0"/>
          <w:marRight w:val="0"/>
          <w:marTop w:val="0"/>
          <w:marBottom w:val="0"/>
          <w:divBdr>
            <w:top w:val="none" w:sz="0" w:space="0" w:color="auto"/>
            <w:left w:val="none" w:sz="0" w:space="0" w:color="auto"/>
            <w:bottom w:val="none" w:sz="0" w:space="0" w:color="auto"/>
            <w:right w:val="none" w:sz="0" w:space="0" w:color="auto"/>
          </w:divBdr>
        </w:div>
        <w:div w:id="53625894">
          <w:marLeft w:val="0"/>
          <w:marRight w:val="0"/>
          <w:marTop w:val="0"/>
          <w:marBottom w:val="0"/>
          <w:divBdr>
            <w:top w:val="none" w:sz="0" w:space="0" w:color="auto"/>
            <w:left w:val="none" w:sz="0" w:space="0" w:color="auto"/>
            <w:bottom w:val="none" w:sz="0" w:space="0" w:color="auto"/>
            <w:right w:val="none" w:sz="0" w:space="0" w:color="auto"/>
          </w:divBdr>
        </w:div>
        <w:div w:id="1963225003">
          <w:marLeft w:val="0"/>
          <w:marRight w:val="0"/>
          <w:marTop w:val="0"/>
          <w:marBottom w:val="0"/>
          <w:divBdr>
            <w:top w:val="none" w:sz="0" w:space="0" w:color="auto"/>
            <w:left w:val="none" w:sz="0" w:space="0" w:color="auto"/>
            <w:bottom w:val="none" w:sz="0" w:space="0" w:color="auto"/>
            <w:right w:val="none" w:sz="0" w:space="0" w:color="auto"/>
          </w:divBdr>
        </w:div>
        <w:div w:id="1122922020">
          <w:marLeft w:val="0"/>
          <w:marRight w:val="0"/>
          <w:marTop w:val="0"/>
          <w:marBottom w:val="0"/>
          <w:divBdr>
            <w:top w:val="none" w:sz="0" w:space="0" w:color="auto"/>
            <w:left w:val="none" w:sz="0" w:space="0" w:color="auto"/>
            <w:bottom w:val="none" w:sz="0" w:space="0" w:color="auto"/>
            <w:right w:val="none" w:sz="0" w:space="0" w:color="auto"/>
          </w:divBdr>
        </w:div>
        <w:div w:id="53704187">
          <w:marLeft w:val="0"/>
          <w:marRight w:val="0"/>
          <w:marTop w:val="0"/>
          <w:marBottom w:val="0"/>
          <w:divBdr>
            <w:top w:val="none" w:sz="0" w:space="0" w:color="auto"/>
            <w:left w:val="none" w:sz="0" w:space="0" w:color="auto"/>
            <w:bottom w:val="none" w:sz="0" w:space="0" w:color="auto"/>
            <w:right w:val="none" w:sz="0" w:space="0" w:color="auto"/>
          </w:divBdr>
        </w:div>
        <w:div w:id="1811634250">
          <w:marLeft w:val="0"/>
          <w:marRight w:val="0"/>
          <w:marTop w:val="0"/>
          <w:marBottom w:val="0"/>
          <w:divBdr>
            <w:top w:val="none" w:sz="0" w:space="0" w:color="auto"/>
            <w:left w:val="none" w:sz="0" w:space="0" w:color="auto"/>
            <w:bottom w:val="none" w:sz="0" w:space="0" w:color="auto"/>
            <w:right w:val="none" w:sz="0" w:space="0" w:color="auto"/>
          </w:divBdr>
        </w:div>
        <w:div w:id="918296485">
          <w:marLeft w:val="0"/>
          <w:marRight w:val="0"/>
          <w:marTop w:val="0"/>
          <w:marBottom w:val="0"/>
          <w:divBdr>
            <w:top w:val="none" w:sz="0" w:space="0" w:color="auto"/>
            <w:left w:val="none" w:sz="0" w:space="0" w:color="auto"/>
            <w:bottom w:val="none" w:sz="0" w:space="0" w:color="auto"/>
            <w:right w:val="none" w:sz="0" w:space="0" w:color="auto"/>
          </w:divBdr>
        </w:div>
        <w:div w:id="1091050684">
          <w:marLeft w:val="0"/>
          <w:marRight w:val="0"/>
          <w:marTop w:val="0"/>
          <w:marBottom w:val="0"/>
          <w:divBdr>
            <w:top w:val="none" w:sz="0" w:space="0" w:color="auto"/>
            <w:left w:val="none" w:sz="0" w:space="0" w:color="auto"/>
            <w:bottom w:val="none" w:sz="0" w:space="0" w:color="auto"/>
            <w:right w:val="none" w:sz="0" w:space="0" w:color="auto"/>
          </w:divBdr>
        </w:div>
        <w:div w:id="1772512310">
          <w:marLeft w:val="0"/>
          <w:marRight w:val="0"/>
          <w:marTop w:val="0"/>
          <w:marBottom w:val="0"/>
          <w:divBdr>
            <w:top w:val="none" w:sz="0" w:space="0" w:color="auto"/>
            <w:left w:val="none" w:sz="0" w:space="0" w:color="auto"/>
            <w:bottom w:val="none" w:sz="0" w:space="0" w:color="auto"/>
            <w:right w:val="none" w:sz="0" w:space="0" w:color="auto"/>
          </w:divBdr>
        </w:div>
      </w:divsChild>
    </w:div>
    <w:div w:id="199579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tem por objetivo relatar o entendimento do estudo de avaliação de risco realizado entre Stefanini e a Cristal</Abstract>
  <CompanyAddress/>
  <CompanyPhone/>
  <CompanyFax/>
  <CompanyEmail>nsoares@latam.stefanini.com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530DBE-932B-4814-B244-5E7C4B305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1948</Words>
  <Characters>10522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MEMORANDUM OF UNDERSTANDING</vt:lpstr>
    </vt:vector>
  </TitlesOfParts>
  <Company>Hewlett-Packard</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OF UNDERSTANDING</dc:title>
  <dc:subject>Avaliação de Risco para a Cristal Pigmentos</dc:subject>
  <dc:creator>Nelson Duarte Soares</dc:creator>
  <cp:lastModifiedBy>Eurico Maimone Henriques</cp:lastModifiedBy>
  <cp:revision>4</cp:revision>
  <cp:lastPrinted>2017-02-03T23:52:00Z</cp:lastPrinted>
  <dcterms:created xsi:type="dcterms:W3CDTF">2018-02-27T12:08:00Z</dcterms:created>
  <dcterms:modified xsi:type="dcterms:W3CDTF">2018-03-01T19:16:00Z</dcterms:modified>
</cp:coreProperties>
</file>