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30003" w14:textId="77777777" w:rsidR="00F968E6" w:rsidRPr="00FE1E6C" w:rsidRDefault="00F968E6" w:rsidP="00F968E6">
      <w:pPr>
        <w:spacing w:after="0"/>
        <w:rPr>
          <w:rFonts w:ascii="Century Gothic" w:hAnsi="Century Gothic"/>
          <w:b/>
          <w:bCs/>
          <w:sz w:val="24"/>
          <w:szCs w:val="24"/>
        </w:rPr>
      </w:pPr>
      <w:r w:rsidRPr="00FE1E6C">
        <w:rPr>
          <w:rFonts w:ascii="Century Gothic" w:hAnsi="Century Gothic"/>
          <w:b/>
          <w:bCs/>
          <w:sz w:val="24"/>
          <w:szCs w:val="24"/>
        </w:rPr>
        <w:t xml:space="preserve">PRÉ-CADASTRO DE REGISTRO DE </w:t>
      </w:r>
      <w:r>
        <w:rPr>
          <w:rFonts w:ascii="Century Gothic" w:hAnsi="Century Gothic"/>
          <w:b/>
          <w:bCs/>
          <w:sz w:val="24"/>
          <w:szCs w:val="24"/>
        </w:rPr>
        <w:t>EMPRESA</w:t>
      </w:r>
    </w:p>
    <w:p w14:paraId="447424D8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</w:p>
    <w:p w14:paraId="36B63D53" w14:textId="77777777" w:rsidR="00F968E6" w:rsidRPr="00FE1E6C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  <w:r w:rsidRPr="00FE1E6C">
        <w:rPr>
          <w:rFonts w:ascii="Century Gothic" w:hAnsi="Century Gothic"/>
          <w:b/>
          <w:sz w:val="24"/>
          <w:szCs w:val="24"/>
        </w:rPr>
        <w:t>1. Documentos necessários:</w:t>
      </w:r>
    </w:p>
    <w:p w14:paraId="085B5E3D" w14:textId="77777777" w:rsidR="00F968E6" w:rsidRPr="00FE1E6C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  <w:r w:rsidRPr="00FE1E6C">
        <w:rPr>
          <w:rFonts w:ascii="Century Gothic" w:hAnsi="Century Gothic"/>
          <w:b/>
          <w:sz w:val="24"/>
          <w:szCs w:val="24"/>
        </w:rPr>
        <w:t xml:space="preserve">1.1 </w:t>
      </w:r>
      <w:r w:rsidRPr="00FE1E6C">
        <w:rPr>
          <w:rFonts w:ascii="Century Gothic" w:hAnsi="Century Gothic"/>
          <w:bCs/>
          <w:sz w:val="24"/>
          <w:szCs w:val="24"/>
        </w:rPr>
        <w:t>Cartão de CNPJ;</w:t>
      </w:r>
    </w:p>
    <w:p w14:paraId="343B0FC5" w14:textId="77777777" w:rsidR="00F968E6" w:rsidRDefault="00F968E6" w:rsidP="00F968E6">
      <w:pPr>
        <w:spacing w:after="0"/>
        <w:rPr>
          <w:rFonts w:ascii="Century Gothic" w:hAnsi="Century Gothic"/>
          <w:bCs/>
          <w:sz w:val="24"/>
          <w:szCs w:val="24"/>
        </w:rPr>
      </w:pPr>
      <w:r w:rsidRPr="00FE1E6C">
        <w:rPr>
          <w:rFonts w:ascii="Century Gothic" w:hAnsi="Century Gothic"/>
          <w:b/>
          <w:bCs/>
          <w:sz w:val="24"/>
          <w:szCs w:val="24"/>
        </w:rPr>
        <w:t>1.2</w:t>
      </w:r>
      <w:r w:rsidRPr="00FE1E6C">
        <w:rPr>
          <w:rFonts w:ascii="Century Gothic" w:hAnsi="Century Gothic"/>
          <w:sz w:val="24"/>
          <w:szCs w:val="24"/>
        </w:rPr>
        <w:t xml:space="preserve"> </w:t>
      </w:r>
      <w:r w:rsidRPr="00FE1E6C">
        <w:rPr>
          <w:rFonts w:ascii="Century Gothic" w:hAnsi="Century Gothic"/>
          <w:bCs/>
          <w:sz w:val="24"/>
          <w:szCs w:val="24"/>
        </w:rPr>
        <w:t>Contrato Social e</w:t>
      </w:r>
      <w:r>
        <w:rPr>
          <w:rFonts w:ascii="Century Gothic" w:hAnsi="Century Gothic"/>
          <w:bCs/>
          <w:sz w:val="24"/>
          <w:szCs w:val="24"/>
        </w:rPr>
        <w:t xml:space="preserve"> </w:t>
      </w:r>
      <w:r w:rsidRPr="00063C23">
        <w:rPr>
          <w:rFonts w:ascii="Century Gothic" w:hAnsi="Century Gothic"/>
          <w:bCs/>
          <w:sz w:val="24"/>
          <w:szCs w:val="24"/>
        </w:rPr>
        <w:t>alteração contratual consolidada</w:t>
      </w:r>
      <w:r w:rsidRPr="00FE1E6C">
        <w:rPr>
          <w:rFonts w:ascii="Century Gothic" w:hAnsi="Century Gothic"/>
          <w:b/>
          <w:bCs/>
          <w:sz w:val="24"/>
          <w:szCs w:val="24"/>
        </w:rPr>
        <w:t xml:space="preserve"> </w:t>
      </w:r>
      <w:r w:rsidRPr="00FE1E6C">
        <w:rPr>
          <w:rFonts w:ascii="Century Gothic" w:hAnsi="Century Gothic"/>
          <w:bCs/>
          <w:sz w:val="24"/>
          <w:szCs w:val="24"/>
        </w:rPr>
        <w:t>ou Contrato Social Consolidado, arquivado na JUCEPAR; ou ainda Declaração do Empresário quando firma individual.</w:t>
      </w:r>
    </w:p>
    <w:p w14:paraId="58D8C897" w14:textId="77777777" w:rsidR="00F968E6" w:rsidRPr="00FE1E6C" w:rsidRDefault="00F968E6" w:rsidP="00F968E6">
      <w:pPr>
        <w:spacing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        </w:t>
      </w:r>
      <w:r w:rsidRPr="00FE1E6C">
        <w:rPr>
          <w:rFonts w:ascii="Century Gothic" w:hAnsi="Century Gothic"/>
          <w:bCs/>
          <w:sz w:val="24"/>
          <w:szCs w:val="24"/>
        </w:rPr>
        <w:t xml:space="preserve">Para órgãos públicos apresentar ata de criação, lei, decreto, declaração ou documento de criação da unidade, que deve constar a natureza do estabelecimento (Farmácia Básica, </w:t>
      </w:r>
      <w:proofErr w:type="gramStart"/>
      <w:r w:rsidRPr="00FE1E6C">
        <w:rPr>
          <w:rFonts w:ascii="Century Gothic" w:hAnsi="Century Gothic"/>
          <w:bCs/>
          <w:sz w:val="24"/>
          <w:szCs w:val="24"/>
        </w:rPr>
        <w:t>Laboratório, etc.</w:t>
      </w:r>
      <w:proofErr w:type="gramEnd"/>
      <w:r w:rsidRPr="00FE1E6C">
        <w:rPr>
          <w:rFonts w:ascii="Century Gothic" w:hAnsi="Century Gothic"/>
          <w:bCs/>
          <w:sz w:val="24"/>
          <w:szCs w:val="24"/>
        </w:rPr>
        <w:t>) e o endereço;</w:t>
      </w:r>
    </w:p>
    <w:p w14:paraId="0F942266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Empresas prestadoras de serviços como laboratórios de análises clínicas poderão ter seus contratos com registro no cartório de títulos e documentos, não havendo, nesse caso, o registro na Junta Comercial do Paraná;</w:t>
      </w:r>
    </w:p>
    <w:p w14:paraId="40F858DA" w14:textId="77777777" w:rsidR="00F968E6" w:rsidRDefault="00F968E6" w:rsidP="00F968E6">
      <w:pPr>
        <w:spacing w:after="0"/>
        <w:rPr>
          <w:rFonts w:ascii="Century Gothic" w:hAnsi="Century Gothic"/>
          <w:b/>
          <w:bCs/>
          <w:sz w:val="24"/>
          <w:szCs w:val="24"/>
        </w:rPr>
      </w:pPr>
    </w:p>
    <w:p w14:paraId="12758D12" w14:textId="77777777" w:rsidR="00F968E6" w:rsidRPr="001012EF" w:rsidRDefault="00F968E6" w:rsidP="00F968E6">
      <w:pPr>
        <w:spacing w:after="0"/>
        <w:rPr>
          <w:rFonts w:ascii="Century Gothic" w:hAnsi="Century Gothic"/>
          <w:b/>
          <w:bCs/>
          <w:sz w:val="24"/>
          <w:szCs w:val="24"/>
        </w:rPr>
      </w:pPr>
      <w:r w:rsidRPr="00FE1E6C">
        <w:rPr>
          <w:rFonts w:ascii="Century Gothic" w:hAnsi="Century Gothic"/>
          <w:b/>
          <w:bCs/>
          <w:sz w:val="24"/>
          <w:szCs w:val="24"/>
        </w:rPr>
        <w:t>2.</w:t>
      </w:r>
      <w:r w:rsidRPr="00FE1E6C">
        <w:rPr>
          <w:rFonts w:ascii="Century Gothic" w:hAnsi="Century Gothic"/>
          <w:bCs/>
          <w:sz w:val="24"/>
          <w:szCs w:val="24"/>
        </w:rPr>
        <w:t xml:space="preserve"> </w:t>
      </w:r>
      <w:r w:rsidRPr="001012EF">
        <w:rPr>
          <w:rFonts w:ascii="Century Gothic" w:hAnsi="Century Gothic"/>
          <w:b/>
          <w:bCs/>
          <w:sz w:val="24"/>
          <w:szCs w:val="24"/>
        </w:rPr>
        <w:t>Taxas:</w:t>
      </w:r>
    </w:p>
    <w:p w14:paraId="42B1B844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b/>
          <w:bCs/>
          <w:sz w:val="24"/>
          <w:szCs w:val="24"/>
        </w:rPr>
        <w:t>2.1</w:t>
      </w:r>
      <w:r w:rsidRPr="00FE1E6C">
        <w:rPr>
          <w:rFonts w:ascii="Century Gothic" w:hAnsi="Century Gothic"/>
          <w:sz w:val="24"/>
          <w:szCs w:val="24"/>
        </w:rPr>
        <w:t xml:space="preserve"> </w:t>
      </w:r>
      <w:r w:rsidRPr="00FE1E6C">
        <w:rPr>
          <w:rFonts w:ascii="Century Gothic" w:hAnsi="Century Gothic"/>
          <w:bCs/>
          <w:sz w:val="24"/>
          <w:szCs w:val="24"/>
          <w:u w:val="single"/>
        </w:rPr>
        <w:t>Registro</w:t>
      </w:r>
      <w:r w:rsidRPr="00FE1E6C">
        <w:rPr>
          <w:rFonts w:ascii="Century Gothic" w:hAnsi="Century Gothic"/>
          <w:bCs/>
          <w:sz w:val="24"/>
          <w:szCs w:val="24"/>
        </w:rPr>
        <w:t>;</w:t>
      </w:r>
    </w:p>
    <w:p w14:paraId="36F6E28B" w14:textId="77777777" w:rsidR="00F968E6" w:rsidRDefault="00F968E6" w:rsidP="00F968E6">
      <w:pPr>
        <w:spacing w:after="0"/>
        <w:rPr>
          <w:rFonts w:ascii="Century Gothic" w:hAnsi="Century Gothic"/>
          <w:bCs/>
          <w:sz w:val="24"/>
          <w:szCs w:val="24"/>
          <w:u w:val="single"/>
        </w:rPr>
      </w:pPr>
      <w:r w:rsidRPr="00FE1E6C">
        <w:rPr>
          <w:rFonts w:ascii="Century Gothic" w:hAnsi="Century Gothic"/>
          <w:b/>
          <w:bCs/>
          <w:sz w:val="24"/>
          <w:szCs w:val="24"/>
        </w:rPr>
        <w:t>2.2</w:t>
      </w:r>
      <w:r w:rsidRPr="00FE1E6C">
        <w:rPr>
          <w:rFonts w:ascii="Century Gothic" w:hAnsi="Century Gothic"/>
          <w:sz w:val="24"/>
          <w:szCs w:val="24"/>
        </w:rPr>
        <w:t xml:space="preserve"> </w:t>
      </w:r>
      <w:r w:rsidRPr="00FE1E6C">
        <w:rPr>
          <w:rFonts w:ascii="Century Gothic" w:hAnsi="Century Gothic"/>
          <w:bCs/>
          <w:sz w:val="24"/>
          <w:szCs w:val="24"/>
          <w:u w:val="single"/>
        </w:rPr>
        <w:t>Anuidade proporciona</w:t>
      </w:r>
      <w:r w:rsidRPr="006C1C1F">
        <w:rPr>
          <w:rFonts w:ascii="Century Gothic" w:hAnsi="Century Gothic"/>
          <w:bCs/>
          <w:sz w:val="24"/>
          <w:szCs w:val="24"/>
          <w:u w:val="single"/>
        </w:rPr>
        <w:t>l</w:t>
      </w:r>
      <w:r>
        <w:rPr>
          <w:rFonts w:ascii="Century Gothic" w:hAnsi="Century Gothic"/>
          <w:bCs/>
          <w:sz w:val="24"/>
          <w:szCs w:val="24"/>
        </w:rPr>
        <w:t>:</w:t>
      </w:r>
    </w:p>
    <w:p w14:paraId="385DC02B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>A</w:t>
      </w:r>
      <w:r w:rsidRPr="006C1C1F">
        <w:rPr>
          <w:rFonts w:ascii="Century Gothic" w:hAnsi="Century Gothic"/>
          <w:bCs/>
          <w:sz w:val="24"/>
          <w:szCs w:val="24"/>
        </w:rPr>
        <w:t>o</w:t>
      </w:r>
      <w:r>
        <w:rPr>
          <w:rFonts w:ascii="Century Gothic" w:hAnsi="Century Gothic"/>
          <w:bCs/>
          <w:sz w:val="24"/>
          <w:szCs w:val="24"/>
        </w:rPr>
        <w:t xml:space="preserve"> </w:t>
      </w:r>
      <w:r w:rsidRPr="00FE1E6C">
        <w:rPr>
          <w:rFonts w:ascii="Century Gothic" w:hAnsi="Century Gothic"/>
          <w:bCs/>
          <w:sz w:val="24"/>
          <w:szCs w:val="24"/>
        </w:rPr>
        <w:t>n.º de meses para o término do ano com base no capital social destacado</w:t>
      </w:r>
      <w:r w:rsidRPr="00FE1E6C">
        <w:rPr>
          <w:rFonts w:ascii="Century Gothic" w:hAnsi="Century Gothic"/>
          <w:sz w:val="24"/>
          <w:szCs w:val="24"/>
        </w:rPr>
        <w:t>;</w:t>
      </w:r>
    </w:p>
    <w:p w14:paraId="7FA20B02" w14:textId="77777777" w:rsidR="00F968E6" w:rsidRPr="007076E5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7076E5">
        <w:rPr>
          <w:rFonts w:ascii="Century Gothic" w:hAnsi="Century Gothic"/>
          <w:sz w:val="24"/>
          <w:szCs w:val="24"/>
        </w:rPr>
        <w:t>Farmácias e laboratórios de hospitais: são isentos de taxas e Anuidade, a atividade básica não é a farmacêutica;</w:t>
      </w:r>
    </w:p>
    <w:p w14:paraId="068D4052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Farmácias e laboratórios de Prefeituras: são isentos de Anuidade;</w:t>
      </w:r>
    </w:p>
    <w:p w14:paraId="73E92F2D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Empresas filantrópicas (sem fins lucrativos) são isentos de taxas e Anuidade;</w:t>
      </w:r>
    </w:p>
    <w:p w14:paraId="53C3C3B0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Postos de Coleta: isentos de taxas e Anuidade;</w:t>
      </w:r>
    </w:p>
    <w:p w14:paraId="183717F9" w14:textId="77777777" w:rsidR="00F968E6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Postos de Coleta Prestador de Serviço: (posto de coleta que não é extensão, nem filial de laboratório, apenas terceiriza o serviço de coleta para um laboratório). Conforme RDC302/2005 ANVISA, só pode prestar serviços para um único laboratório. Como a atividade básica desse estabelecimento é a coleta, cobrar taxa de registro de firma e Anuidade Proporcional</w:t>
      </w:r>
      <w:r>
        <w:rPr>
          <w:rFonts w:ascii="Century Gothic" w:hAnsi="Century Gothic"/>
          <w:sz w:val="24"/>
          <w:szCs w:val="24"/>
        </w:rPr>
        <w:t>;</w:t>
      </w:r>
    </w:p>
    <w:p w14:paraId="149F678D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Filiais c/ matriz fora do estado s/ capital destacado no contrato social: cobrar Anuidade faixa 3.</w:t>
      </w:r>
    </w:p>
    <w:p w14:paraId="425459A0" w14:textId="77777777" w:rsidR="00F968E6" w:rsidRPr="00742CA7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742CA7">
        <w:rPr>
          <w:rFonts w:ascii="Century Gothic" w:hAnsi="Century Gothic"/>
          <w:sz w:val="24"/>
          <w:szCs w:val="24"/>
        </w:rPr>
        <w:t>Filiais de farmácias com matriz no Paraná, da base territorial do SINDIFARMA e sem capital destacado no contrato social cobrar anuidade faixa 3</w:t>
      </w:r>
      <w:r>
        <w:rPr>
          <w:rFonts w:ascii="Century Gothic" w:hAnsi="Century Gothic"/>
          <w:sz w:val="24"/>
          <w:szCs w:val="24"/>
        </w:rPr>
        <w:t>.</w:t>
      </w:r>
    </w:p>
    <w:p w14:paraId="38FF1AF4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</w:p>
    <w:p w14:paraId="2DB9D596" w14:textId="77777777" w:rsidR="00F968E6" w:rsidRPr="00FE1E6C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  <w:r w:rsidRPr="00FE1E6C">
        <w:rPr>
          <w:rFonts w:ascii="Century Gothic" w:hAnsi="Century Gothic"/>
          <w:b/>
          <w:sz w:val="24"/>
          <w:szCs w:val="24"/>
        </w:rPr>
        <w:t>3. Verificações a serem feitas:</w:t>
      </w:r>
    </w:p>
    <w:p w14:paraId="4D43B841" w14:textId="734E6EEA" w:rsidR="00F968E6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b/>
          <w:sz w:val="24"/>
          <w:szCs w:val="24"/>
        </w:rPr>
        <w:t xml:space="preserve">3.1 </w:t>
      </w:r>
      <w:r w:rsidRPr="00FE1E6C">
        <w:rPr>
          <w:rFonts w:ascii="Century Gothic" w:hAnsi="Century Gothic"/>
          <w:sz w:val="24"/>
          <w:szCs w:val="24"/>
        </w:rPr>
        <w:t>No Contrato Social deverá ser observado o ramo de atividade (objeto social da empresa ou da filial especificamente), endereço completo, alterações existentes, qualificação de sócios, nome, endereço e CPF do(s) sócio(s) gerente(s). Médicos não podem ser sócios de Farmácias ou Drogarias, exceto Farmácias Hospitalares (Decreto n.º 20931/32, Art. 16, item G);</w:t>
      </w:r>
    </w:p>
    <w:p w14:paraId="2301FC46" w14:textId="6B277ED8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Verificar se tem o </w:t>
      </w:r>
      <w:r w:rsidR="009C3A37">
        <w:rPr>
          <w:rFonts w:ascii="Century Gothic" w:hAnsi="Century Gothic"/>
          <w:sz w:val="24"/>
          <w:szCs w:val="24"/>
        </w:rPr>
        <w:t xml:space="preserve">carimbo do arquivamento </w:t>
      </w:r>
      <w:r>
        <w:rPr>
          <w:rFonts w:ascii="Century Gothic" w:hAnsi="Century Gothic"/>
          <w:sz w:val="24"/>
          <w:szCs w:val="24"/>
        </w:rPr>
        <w:t xml:space="preserve">da </w:t>
      </w:r>
      <w:proofErr w:type="spellStart"/>
      <w:r>
        <w:rPr>
          <w:rFonts w:ascii="Century Gothic" w:hAnsi="Century Gothic"/>
          <w:sz w:val="24"/>
          <w:szCs w:val="24"/>
        </w:rPr>
        <w:t>Jucepar</w:t>
      </w:r>
      <w:proofErr w:type="spellEnd"/>
      <w:r w:rsidR="009C3A37">
        <w:rPr>
          <w:rFonts w:ascii="Century Gothic" w:hAnsi="Century Gothic"/>
          <w:sz w:val="24"/>
          <w:szCs w:val="24"/>
        </w:rPr>
        <w:t xml:space="preserve"> ... verificar a data, se for anterior a 02 meses, deverá solicitar que apresente Certidão Simplificada arquivada na JUCEPAR. </w:t>
      </w:r>
    </w:p>
    <w:p w14:paraId="3A006A82" w14:textId="77777777" w:rsidR="00F968E6" w:rsidRPr="00FE1E6C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D02CF59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</w:p>
    <w:p w14:paraId="2FD9662B" w14:textId="77777777" w:rsidR="00F968E6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C56A061" w14:textId="77777777" w:rsidR="00F968E6" w:rsidRPr="00FE1E6C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lastRenderedPageBreak/>
        <w:t xml:space="preserve">PRÉ-CADASTRO - </w:t>
      </w:r>
      <w:r w:rsidRPr="00FE1E6C">
        <w:rPr>
          <w:rFonts w:ascii="Century Gothic" w:hAnsi="Century Gothic"/>
          <w:b/>
          <w:sz w:val="24"/>
          <w:szCs w:val="24"/>
        </w:rPr>
        <w:t xml:space="preserve">REABILITAÇÃO DE REGISTRO DE </w:t>
      </w:r>
      <w:r>
        <w:rPr>
          <w:rFonts w:ascii="Century Gothic" w:hAnsi="Century Gothic"/>
          <w:b/>
          <w:sz w:val="24"/>
          <w:szCs w:val="24"/>
        </w:rPr>
        <w:t>EMPRESA</w:t>
      </w:r>
    </w:p>
    <w:p w14:paraId="32538913" w14:textId="77777777" w:rsidR="00F968E6" w:rsidRPr="00FE1E6C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9BE5D97" w14:textId="77777777" w:rsidR="00F968E6" w:rsidRPr="00FE1E6C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  <w:r w:rsidRPr="00FE1E6C">
        <w:rPr>
          <w:rFonts w:ascii="Century Gothic" w:hAnsi="Century Gothic"/>
          <w:b/>
          <w:sz w:val="24"/>
          <w:szCs w:val="24"/>
        </w:rPr>
        <w:t>1. Documentos necessários:</w:t>
      </w:r>
    </w:p>
    <w:p w14:paraId="271952D5" w14:textId="77777777" w:rsidR="00F968E6" w:rsidRPr="00FE1E6C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  <w:r w:rsidRPr="00FE1E6C">
        <w:rPr>
          <w:rFonts w:ascii="Century Gothic" w:hAnsi="Century Gothic"/>
          <w:b/>
          <w:sz w:val="24"/>
          <w:szCs w:val="24"/>
        </w:rPr>
        <w:t xml:space="preserve">1.1 </w:t>
      </w:r>
      <w:r w:rsidRPr="00FE1E6C">
        <w:rPr>
          <w:rFonts w:ascii="Century Gothic" w:hAnsi="Century Gothic"/>
          <w:bCs/>
          <w:sz w:val="24"/>
          <w:szCs w:val="24"/>
        </w:rPr>
        <w:t>Cartão de CNPJ;</w:t>
      </w:r>
    </w:p>
    <w:p w14:paraId="118B7B37" w14:textId="77777777" w:rsidR="00F968E6" w:rsidRDefault="00F968E6" w:rsidP="00F968E6">
      <w:pPr>
        <w:spacing w:after="0"/>
        <w:rPr>
          <w:rFonts w:ascii="Century Gothic" w:hAnsi="Century Gothic"/>
          <w:bCs/>
          <w:sz w:val="24"/>
          <w:szCs w:val="24"/>
        </w:rPr>
      </w:pPr>
      <w:r w:rsidRPr="00FE1E6C">
        <w:rPr>
          <w:rFonts w:ascii="Century Gothic" w:hAnsi="Century Gothic"/>
          <w:b/>
          <w:bCs/>
          <w:sz w:val="24"/>
          <w:szCs w:val="24"/>
        </w:rPr>
        <w:t>1.2</w:t>
      </w:r>
      <w:r w:rsidRPr="00FE1E6C">
        <w:rPr>
          <w:rFonts w:ascii="Century Gothic" w:hAnsi="Century Gothic"/>
          <w:sz w:val="24"/>
          <w:szCs w:val="24"/>
        </w:rPr>
        <w:t xml:space="preserve"> </w:t>
      </w:r>
      <w:r w:rsidRPr="00FE1E6C">
        <w:rPr>
          <w:rFonts w:ascii="Century Gothic" w:hAnsi="Century Gothic"/>
          <w:bCs/>
          <w:sz w:val="24"/>
          <w:szCs w:val="24"/>
        </w:rPr>
        <w:t>Contrato Social e</w:t>
      </w:r>
      <w:r>
        <w:rPr>
          <w:rFonts w:ascii="Century Gothic" w:hAnsi="Century Gothic"/>
          <w:bCs/>
          <w:sz w:val="24"/>
          <w:szCs w:val="24"/>
        </w:rPr>
        <w:t xml:space="preserve"> </w:t>
      </w:r>
      <w:r w:rsidRPr="00063C23">
        <w:rPr>
          <w:rFonts w:ascii="Century Gothic" w:hAnsi="Century Gothic"/>
          <w:bCs/>
          <w:sz w:val="24"/>
          <w:szCs w:val="24"/>
        </w:rPr>
        <w:t>alteração contratual consolidada</w:t>
      </w:r>
      <w:r w:rsidRPr="00FE1E6C">
        <w:rPr>
          <w:rFonts w:ascii="Century Gothic" w:hAnsi="Century Gothic"/>
          <w:b/>
          <w:bCs/>
          <w:sz w:val="24"/>
          <w:szCs w:val="24"/>
        </w:rPr>
        <w:t xml:space="preserve"> </w:t>
      </w:r>
      <w:r w:rsidRPr="00FE1E6C">
        <w:rPr>
          <w:rFonts w:ascii="Century Gothic" w:hAnsi="Century Gothic"/>
          <w:bCs/>
          <w:sz w:val="24"/>
          <w:szCs w:val="24"/>
        </w:rPr>
        <w:t>ou Contrato Social Consolidado, arquivado na JUCEPAR; ou ainda Declaração do Empresário quando firma individual.</w:t>
      </w:r>
    </w:p>
    <w:p w14:paraId="2F02AB8C" w14:textId="77777777" w:rsidR="00F968E6" w:rsidRPr="00FE1E6C" w:rsidRDefault="00F968E6" w:rsidP="00F968E6">
      <w:pPr>
        <w:spacing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        </w:t>
      </w:r>
      <w:r w:rsidRPr="00FE1E6C">
        <w:rPr>
          <w:rFonts w:ascii="Century Gothic" w:hAnsi="Century Gothic"/>
          <w:bCs/>
          <w:sz w:val="24"/>
          <w:szCs w:val="24"/>
        </w:rPr>
        <w:t xml:space="preserve">Para órgãos públicos apresentar ata de criação, lei, decreto, declaração ou documento de criação da unidade, que deve constar a natureza do estabelecimento (Farmácia Básica, </w:t>
      </w:r>
      <w:proofErr w:type="gramStart"/>
      <w:r w:rsidRPr="00FE1E6C">
        <w:rPr>
          <w:rFonts w:ascii="Century Gothic" w:hAnsi="Century Gothic"/>
          <w:bCs/>
          <w:sz w:val="24"/>
          <w:szCs w:val="24"/>
        </w:rPr>
        <w:t>Laboratório, etc.</w:t>
      </w:r>
      <w:proofErr w:type="gramEnd"/>
      <w:r w:rsidRPr="00FE1E6C">
        <w:rPr>
          <w:rFonts w:ascii="Century Gothic" w:hAnsi="Century Gothic"/>
          <w:bCs/>
          <w:sz w:val="24"/>
          <w:szCs w:val="24"/>
        </w:rPr>
        <w:t>) e o endereço;</w:t>
      </w:r>
    </w:p>
    <w:p w14:paraId="147BE70A" w14:textId="7A0172F8" w:rsidR="00F968E6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Empresas prestadoras de serviços como laboratórios de análises clínicas poderão ter seus contratos com registro no cartório de títulos e documentos, não havendo, nesse caso, o registro na Junta Comercial do Paraná;</w:t>
      </w:r>
    </w:p>
    <w:p w14:paraId="55228416" w14:textId="77777777" w:rsidR="006F0670" w:rsidRPr="00FE1E6C" w:rsidRDefault="006F0670" w:rsidP="006F067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Verificar se tem o carimbo do arquivamento da </w:t>
      </w:r>
      <w:proofErr w:type="spellStart"/>
      <w:r>
        <w:rPr>
          <w:rFonts w:ascii="Century Gothic" w:hAnsi="Century Gothic"/>
          <w:sz w:val="24"/>
          <w:szCs w:val="24"/>
        </w:rPr>
        <w:t>Jucepar</w:t>
      </w:r>
      <w:proofErr w:type="spellEnd"/>
      <w:r>
        <w:rPr>
          <w:rFonts w:ascii="Century Gothic" w:hAnsi="Century Gothic"/>
          <w:sz w:val="24"/>
          <w:szCs w:val="24"/>
        </w:rPr>
        <w:t xml:space="preserve"> ... verificar a data, se for anterior a 02 meses, deverá solicitar que apresente Certidão Simplificada arquivada na JUCEPAR. </w:t>
      </w:r>
    </w:p>
    <w:p w14:paraId="2837CDF8" w14:textId="77777777" w:rsidR="006F0670" w:rsidRDefault="006F0670" w:rsidP="00F968E6">
      <w:pPr>
        <w:spacing w:after="0"/>
        <w:rPr>
          <w:rFonts w:ascii="Century Gothic" w:hAnsi="Century Gothic"/>
          <w:b/>
          <w:bCs/>
          <w:sz w:val="24"/>
          <w:szCs w:val="24"/>
        </w:rPr>
      </w:pPr>
    </w:p>
    <w:p w14:paraId="2624E3D5" w14:textId="28322EBD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b/>
          <w:bCs/>
          <w:sz w:val="24"/>
          <w:szCs w:val="24"/>
        </w:rPr>
        <w:t>2</w:t>
      </w:r>
      <w:r w:rsidRPr="001012EF">
        <w:rPr>
          <w:rFonts w:ascii="Century Gothic" w:hAnsi="Century Gothic"/>
          <w:b/>
          <w:bCs/>
          <w:sz w:val="24"/>
          <w:szCs w:val="24"/>
        </w:rPr>
        <w:t>. Taxas:</w:t>
      </w:r>
    </w:p>
    <w:p w14:paraId="70451B8C" w14:textId="77777777" w:rsidR="00F968E6" w:rsidRDefault="00F968E6" w:rsidP="00F968E6">
      <w:pPr>
        <w:spacing w:after="0"/>
        <w:rPr>
          <w:rFonts w:ascii="Century Gothic" w:hAnsi="Century Gothic"/>
          <w:bCs/>
          <w:sz w:val="24"/>
          <w:szCs w:val="24"/>
          <w:u w:val="single"/>
        </w:rPr>
      </w:pPr>
      <w:r w:rsidRPr="00FE1E6C">
        <w:rPr>
          <w:rFonts w:ascii="Century Gothic" w:hAnsi="Century Gothic"/>
          <w:b/>
          <w:bCs/>
          <w:sz w:val="24"/>
          <w:szCs w:val="24"/>
        </w:rPr>
        <w:t>2.</w:t>
      </w:r>
      <w:r>
        <w:rPr>
          <w:rFonts w:ascii="Century Gothic" w:hAnsi="Century Gothic"/>
          <w:b/>
          <w:bCs/>
          <w:sz w:val="24"/>
          <w:szCs w:val="24"/>
        </w:rPr>
        <w:t>1</w:t>
      </w:r>
      <w:r w:rsidRPr="00FE1E6C">
        <w:rPr>
          <w:rFonts w:ascii="Century Gothic" w:hAnsi="Century Gothic"/>
          <w:sz w:val="24"/>
          <w:szCs w:val="24"/>
        </w:rPr>
        <w:t xml:space="preserve"> </w:t>
      </w:r>
      <w:r w:rsidRPr="00FE1E6C">
        <w:rPr>
          <w:rFonts w:ascii="Century Gothic" w:hAnsi="Century Gothic"/>
          <w:bCs/>
          <w:sz w:val="24"/>
          <w:szCs w:val="24"/>
          <w:u w:val="single"/>
        </w:rPr>
        <w:t>Anuidade proporciona</w:t>
      </w:r>
      <w:r w:rsidRPr="006C1C1F">
        <w:rPr>
          <w:rFonts w:ascii="Century Gothic" w:hAnsi="Century Gothic"/>
          <w:bCs/>
          <w:sz w:val="24"/>
          <w:szCs w:val="24"/>
          <w:u w:val="single"/>
        </w:rPr>
        <w:t>l</w:t>
      </w:r>
      <w:r>
        <w:rPr>
          <w:rFonts w:ascii="Century Gothic" w:hAnsi="Century Gothic"/>
          <w:bCs/>
          <w:sz w:val="24"/>
          <w:szCs w:val="24"/>
        </w:rPr>
        <w:t>:</w:t>
      </w:r>
    </w:p>
    <w:p w14:paraId="263EBA67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>A</w:t>
      </w:r>
      <w:r w:rsidRPr="006C1C1F">
        <w:rPr>
          <w:rFonts w:ascii="Century Gothic" w:hAnsi="Century Gothic"/>
          <w:bCs/>
          <w:sz w:val="24"/>
          <w:szCs w:val="24"/>
        </w:rPr>
        <w:t>o</w:t>
      </w:r>
      <w:r>
        <w:rPr>
          <w:rFonts w:ascii="Century Gothic" w:hAnsi="Century Gothic"/>
          <w:bCs/>
          <w:sz w:val="24"/>
          <w:szCs w:val="24"/>
        </w:rPr>
        <w:t xml:space="preserve"> </w:t>
      </w:r>
      <w:r w:rsidRPr="00FE1E6C">
        <w:rPr>
          <w:rFonts w:ascii="Century Gothic" w:hAnsi="Century Gothic"/>
          <w:bCs/>
          <w:sz w:val="24"/>
          <w:szCs w:val="24"/>
        </w:rPr>
        <w:t>n.º de meses para o término do ano com base no capital social destacado</w:t>
      </w:r>
      <w:r w:rsidRPr="00FE1E6C">
        <w:rPr>
          <w:rFonts w:ascii="Century Gothic" w:hAnsi="Century Gothic"/>
          <w:sz w:val="24"/>
          <w:szCs w:val="24"/>
        </w:rPr>
        <w:t>;</w:t>
      </w:r>
    </w:p>
    <w:p w14:paraId="4F81D4AA" w14:textId="77777777" w:rsidR="00F968E6" w:rsidRPr="007076E5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7076E5">
        <w:rPr>
          <w:rFonts w:ascii="Century Gothic" w:hAnsi="Century Gothic"/>
          <w:sz w:val="24"/>
          <w:szCs w:val="24"/>
        </w:rPr>
        <w:t>Farmácias e laboratórios de hospitais: são isentos de taxas e Anuidade, a atividade básica não é a farmacêutica;</w:t>
      </w:r>
    </w:p>
    <w:p w14:paraId="42C85007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Farmácias e laboratórios de Prefeituras: são isentos de Anuidade;</w:t>
      </w:r>
    </w:p>
    <w:p w14:paraId="19B30752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Empresas filantrópicas (sem fins lucrativos) são isentos de taxas e Anuidade;</w:t>
      </w:r>
    </w:p>
    <w:p w14:paraId="042C820D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Postos de Coleta: isentos de taxas e Anuidade;</w:t>
      </w:r>
    </w:p>
    <w:p w14:paraId="3A85D51C" w14:textId="77777777" w:rsidR="00F968E6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Postos de Coleta Prestador de Serviço: (posto de coleta que não é extensão, nem filial de laboratório, apenas terceiriza o serviço de coleta para um laboratório). Conforme RDC302/2005 ANVISA, só pode prestar serviços para um único laboratório. Como a atividade básica desse estabelecimento é a coleta, cobrar taxa de registro de firma e Anuidade Proporcional</w:t>
      </w:r>
      <w:r>
        <w:rPr>
          <w:rFonts w:ascii="Century Gothic" w:hAnsi="Century Gothic"/>
          <w:sz w:val="24"/>
          <w:szCs w:val="24"/>
        </w:rPr>
        <w:t>;</w:t>
      </w:r>
    </w:p>
    <w:p w14:paraId="3B4D6957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sz w:val="24"/>
          <w:szCs w:val="24"/>
        </w:rPr>
        <w:t>Filiais c/ matriz fora do estado s/ capital destacado no contrato social: cobrar Anuidade faixa 3.</w:t>
      </w:r>
    </w:p>
    <w:p w14:paraId="23CF041A" w14:textId="77777777" w:rsidR="00F968E6" w:rsidRPr="00742CA7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742CA7">
        <w:rPr>
          <w:rFonts w:ascii="Century Gothic" w:hAnsi="Century Gothic"/>
          <w:sz w:val="24"/>
          <w:szCs w:val="24"/>
        </w:rPr>
        <w:t>Filiais de farmácias com matriz no Paraná, da base territorial do SINDIFARMA e sem capital destacado no contrato social cobrar anuidade faixa 3</w:t>
      </w:r>
      <w:r>
        <w:rPr>
          <w:rFonts w:ascii="Century Gothic" w:hAnsi="Century Gothic"/>
          <w:sz w:val="24"/>
          <w:szCs w:val="24"/>
        </w:rPr>
        <w:t>.</w:t>
      </w:r>
    </w:p>
    <w:p w14:paraId="57DD1696" w14:textId="77777777" w:rsidR="00F968E6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7B85AB9" w14:textId="77777777" w:rsidR="00F968E6" w:rsidRPr="00FE1E6C" w:rsidRDefault="00F968E6" w:rsidP="00F968E6">
      <w:pPr>
        <w:spacing w:after="0"/>
        <w:rPr>
          <w:rFonts w:ascii="Century Gothic" w:hAnsi="Century Gothic"/>
          <w:b/>
          <w:sz w:val="24"/>
          <w:szCs w:val="24"/>
        </w:rPr>
      </w:pPr>
      <w:r w:rsidRPr="00FE1E6C">
        <w:rPr>
          <w:rFonts w:ascii="Century Gothic" w:hAnsi="Century Gothic"/>
          <w:b/>
          <w:sz w:val="24"/>
          <w:szCs w:val="24"/>
        </w:rPr>
        <w:t>3. Verificações a serem feitas:</w:t>
      </w:r>
    </w:p>
    <w:p w14:paraId="567D4A11" w14:textId="77777777" w:rsidR="00F968E6" w:rsidRPr="00FE1E6C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 w:rsidRPr="00FE1E6C">
        <w:rPr>
          <w:rFonts w:ascii="Century Gothic" w:hAnsi="Century Gothic"/>
          <w:b/>
          <w:sz w:val="24"/>
          <w:szCs w:val="24"/>
        </w:rPr>
        <w:t xml:space="preserve">3.1 </w:t>
      </w:r>
      <w:r w:rsidRPr="00FE1E6C">
        <w:rPr>
          <w:rFonts w:ascii="Century Gothic" w:hAnsi="Century Gothic"/>
          <w:sz w:val="24"/>
          <w:szCs w:val="24"/>
        </w:rPr>
        <w:t>N</w:t>
      </w:r>
      <w:r>
        <w:rPr>
          <w:rFonts w:ascii="Century Gothic" w:hAnsi="Century Gothic"/>
          <w:sz w:val="24"/>
          <w:szCs w:val="24"/>
        </w:rPr>
        <w:t xml:space="preserve">a Alteração </w:t>
      </w:r>
      <w:r w:rsidRPr="00FE1E6C">
        <w:rPr>
          <w:rFonts w:ascii="Century Gothic" w:hAnsi="Century Gothic"/>
          <w:sz w:val="24"/>
          <w:szCs w:val="24"/>
        </w:rPr>
        <w:t>Contrat</w:t>
      </w:r>
      <w:r>
        <w:rPr>
          <w:rFonts w:ascii="Century Gothic" w:hAnsi="Century Gothic"/>
          <w:sz w:val="24"/>
          <w:szCs w:val="24"/>
        </w:rPr>
        <w:t>ual</w:t>
      </w:r>
      <w:r w:rsidRPr="00FE1E6C">
        <w:rPr>
          <w:rFonts w:ascii="Century Gothic" w:hAnsi="Century Gothic"/>
          <w:sz w:val="24"/>
          <w:szCs w:val="24"/>
        </w:rPr>
        <w:t xml:space="preserve"> deverá ser observado o ramo de atividade (objeto social da empresa ou da filial especificamente), endereço completo, alterações existentes, qualificação de sócios, nome, endereço e CPF do(s) sócio(s) gerente(s). Médicos não podem ser sócios de Farmácias ou Drogarias, exceto Farmácias Hospitalares (Decreto n.º 20931/32, Art. 16, item G);</w:t>
      </w:r>
    </w:p>
    <w:p w14:paraId="1F8F465E" w14:textId="48B0C871" w:rsidR="00F968E6" w:rsidRDefault="00F968E6" w:rsidP="00F968E6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3.2 </w:t>
      </w:r>
      <w:r w:rsidRPr="00FE1E6C">
        <w:rPr>
          <w:rFonts w:ascii="Century Gothic" w:hAnsi="Century Gothic"/>
          <w:sz w:val="24"/>
          <w:szCs w:val="24"/>
        </w:rPr>
        <w:t>Verificar no S</w:t>
      </w:r>
      <w:r>
        <w:rPr>
          <w:rFonts w:ascii="Century Gothic" w:hAnsi="Century Gothic"/>
          <w:sz w:val="24"/>
          <w:szCs w:val="24"/>
        </w:rPr>
        <w:t>AGICON</w:t>
      </w:r>
      <w:r w:rsidRPr="00FE1E6C">
        <w:rPr>
          <w:rFonts w:ascii="Century Gothic" w:hAnsi="Century Gothic"/>
          <w:sz w:val="24"/>
          <w:szCs w:val="24"/>
        </w:rPr>
        <w:t xml:space="preserve"> pelo nome fantasia, razão social ou C</w:t>
      </w:r>
      <w:r w:rsidR="006F0670">
        <w:rPr>
          <w:rFonts w:ascii="Century Gothic" w:hAnsi="Century Gothic"/>
          <w:sz w:val="24"/>
          <w:szCs w:val="24"/>
        </w:rPr>
        <w:t xml:space="preserve">NPJ </w:t>
      </w:r>
      <w:r w:rsidRPr="00FE1E6C">
        <w:rPr>
          <w:rFonts w:ascii="Century Gothic" w:hAnsi="Century Gothic"/>
          <w:sz w:val="24"/>
          <w:szCs w:val="24"/>
        </w:rPr>
        <w:t xml:space="preserve">a situação da firma, caso o número do CNPJ mudou não será reabilitação e sim inscrição de uma nova firma, fazendo registro de firma. </w:t>
      </w:r>
    </w:p>
    <w:p w14:paraId="30D6B78A" w14:textId="77777777" w:rsidR="000B2724" w:rsidRDefault="00000000" w:rsidP="00F968E6">
      <w:pPr>
        <w:ind w:right="-568"/>
      </w:pPr>
    </w:p>
    <w:sectPr w:rsidR="000B2724" w:rsidSect="00F968E6">
      <w:pgSz w:w="11906" w:h="16838"/>
      <w:pgMar w:top="1417" w:right="170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E6"/>
    <w:rsid w:val="001713A0"/>
    <w:rsid w:val="001844B1"/>
    <w:rsid w:val="004D121A"/>
    <w:rsid w:val="006F0670"/>
    <w:rsid w:val="009C3A37"/>
    <w:rsid w:val="00BB20E2"/>
    <w:rsid w:val="00F9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31A51"/>
  <w15:chartTrackingRefBased/>
  <w15:docId w15:val="{0359C95D-91FE-484A-8CE4-1879BC11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8E6"/>
    <w:pPr>
      <w:spacing w:line="252" w:lineRule="auto"/>
      <w:jc w:val="both"/>
    </w:pPr>
    <w:rPr>
      <w:rFonts w:eastAsiaTheme="minorEastAs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749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Carla Nadal</dc:creator>
  <cp:keywords/>
  <dc:description/>
  <cp:lastModifiedBy>Silvia Carla Nadal</cp:lastModifiedBy>
  <cp:revision>2</cp:revision>
  <dcterms:created xsi:type="dcterms:W3CDTF">2022-08-01T23:47:00Z</dcterms:created>
  <dcterms:modified xsi:type="dcterms:W3CDTF">2022-08-02T00:04:00Z</dcterms:modified>
</cp:coreProperties>
</file>