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2E5C8A"/>
          <w:sz w:val="44"/>
          <w:szCs w:val="44"/>
        </w:rPr>
        <w:t xml:space="preserve">KosmoPay / kmoney-app</w:t>
      </w:r>
    </w:p>
    <w:p>
      <w:pPr>
        <w:spacing w:after="100"/>
        <w:jc w:val="center"/>
      </w:pPr>
      <w:r>
        <w:rPr>
          <w:b/>
          <w:bCs/>
          <w:color w:val="333333"/>
          <w:sz w:val="34"/>
          <w:szCs w:val="34"/>
        </w:rPr>
        <w:t xml:space="preserve">Analisi completa per il go-live</w:t>
      </w:r>
    </w:p>
    <w:p>
      <w:pPr>
        <w:spacing w:after="600"/>
        <w:jc w:val="center"/>
      </w:pPr>
      <w:r>
        <w:rPr>
          <w:i/>
          <w:iCs/>
          <w:color w:val="555555"/>
          <w:sz w:val="24"/>
          <w:szCs w:val="24"/>
        </w:rPr>
        <w:t xml:space="preserve">Prospettiva Senior Developer · Project Manager · Sostenibilità del sistema · Proposte imprenditoriali</w:t>
      </w:r>
    </w:p>
    <w:p>
      <w:pPr>
        <w:spacing w:after="800"/>
        <w:jc w:val="center"/>
      </w:pPr>
      <w:r>
        <w:rPr>
          <w:b/>
          <w:bCs/>
          <w:color w:val="8A5A00"/>
          <w:sz w:val="24"/>
          <w:szCs w:val="24"/>
        </w:rPr>
        <w:t xml:space="preserve">Focus dedicato: il sistema multilivello (MLM/referral) analizzato da ogni angolazione</w:t>
      </w:r>
    </w:p>
    <w:p>
      <w:pPr>
        <w:jc w:val="center"/>
      </w:pPr>
      <w:r>
        <w:rPr>
          <w:color w:val="777777"/>
          <w:sz w:val="22"/>
          <w:szCs w:val="22"/>
        </w:rPr>
        <w:t xml:space="preserve">28 luglio 2026 — Documento preparato per Laura</w:t>
      </w:r>
    </w:p>
    <w:p>
      <w:r>
        <w:br w:type="page"/>
      </w:r>
    </w:p>
    <w:p>
      <w:pPr>
        <w:pStyle w:val="Heading1"/>
        <w:spacing w:after="200" w:before="400"/>
      </w:pPr>
      <w:r>
        <w:t xml:space="preserve">Executive summary</w:t>
      </w:r>
    </w:p>
    <w:p>
      <w:pPr>
        <w:spacing w:after="160" w:line="300"/>
      </w:pPr>
      <w:r>
        <w:t xml:space="preserve">KosmoPay (kmoney-app) è una piattaforma fintech Laravel matura sul piano ingegneristico: il motore finanziario centrale (partita doppia, idempotenza, lock pessimistici, audit log) è solido e ampiamente testato, e negli ultimi due mesi il progetto ha ricevuto un'attenzione costante, con decine di correzioni e nuove funzionalità consegnate quasi ogni giorno. Detto questo, l'app non è ancora pronta per un lancio pubblico pieno e incondizionato — e il motivo principale non è tecnico: è il sistema multilivello (MLM/referral).</w:t>
      </w:r>
    </w:p>
    <w:tbl>
      <w:tblPr>
        <w:tblW w:type="pct" w:w="100%"/>
        <w:tblBorders>
          <w:top w:val="single" w:color="8A5A00" w:sz="4"/>
          <w:left w:val="single" w:color="8A5A00" w:sz="28"/>
          <w:bottom w:val="single" w:color="8A5A00" w:sz="4"/>
          <w:right w:val="single" w:color="8A5A00"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8A5A00"/>
              </w:rPr>
              <w:t xml:space="preserve">Il punto centrale di questo documento</w:t>
            </w:r>
          </w:p>
          <w:p>
            <w:pPr>
              <w:spacing w:after="0"/>
            </w:pPr>
            <w:r>
              <w:t xml:space="preserve">Il motore MLM è costruito bene dal punto di vista ingegneristico (9 servizi dedicati, closure table per l'albero, rank engine configurabile, commission engine con run mensili tracciati e idempotenti). Il campo min_deposit_points (aggiunto il 27/07) è tenuto intenzionalmente a 0 durante il periodo di lancio — una scelta di Laura, non una dimenticanza — con il piano di impostare una soglia reale di punti-da-ricarica subito dopo. Resta però un punto tecnico da tenere presente per quando quella soglia verrà attivata: l'evento BasiQ e i Bonus Diretti KNM oggi non la consultano affatto (usano il totale punti registrazione+deposito), quindi andranno collegati esplicitamente, altrimenti l'attivazione della soglia proteggerà solo le qualifiche di grado e non questi due bonus specifici. Vale anche la pena ricordare che i clienti registrati, anche senza ricarica, hanno un valore reale per l'azienda (rete, dati, base utenti futuribile) — il tema non è "azzerare" questo canale ma assicurarsi che i bonus in denaro restino agganciati, nel tempo, a un indicatore di attività reale.</w:t>
            </w:r>
          </w:p>
        </w:tc>
      </w:tr>
    </w:tbl>
    <w:p>
      <w:pPr>
        <w:spacing w:after="120"/>
      </w:pPr>
    </w:p>
    <w:p>
      <w:pPr>
        <w:spacing w:after="160" w:line="300"/>
      </w:pPr>
      <w:r>
        <w:t xml:space="preserve">Questo è un tema già diagnosticato con precisione in un'analisi precedente del 24/07, e la correzione tecnica (collegare BasiQ/Bonus Diretti alla soglia punti-da-ricarica) richiede giorni, non mesi: il codice è già predisposto per accoglierla. Questo documento riprende quella diagnosi, la verifica sul codice più recente (post 27-28/07), la aggiorna con i fatti nuovi — incluso il piano di Laura per il periodo post-lancio — e la affianca a un'analisi di readiness tecnica e di processo, oltre a proposte di crescita per il sistema multilivello che resta probabilmente la leva più potente a disposizione dell'azienda.</w:t>
      </w:r>
    </w:p>
    <w:p>
      <w:pPr>
        <w:pStyle w:val="Heading2"/>
        <w:spacing w:after="150" w:before="300"/>
      </w:pPr>
      <w:r>
        <w:t xml:space="preserve">Verdetto in una riga per ciascuna prospettiva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E5C8A" w:val="clear"/>
            <w:tcMar>
              <w:top w:type="dxa" w:w="80"/>
              <w:left w:type="dxa" w:w="100"/>
              <w:bottom w:type="dxa" w:w="80"/>
              <w:right w:type="dxa" w:w="100"/>
            </w:tcMar>
          </w:tcPr>
          <w:p>
            <w:r>
              <w:rPr>
                <w:b/>
                <w:bCs/>
                <w:color w:val="FFFFFF"/>
              </w:rPr>
              <w:t xml:space="preserve">Prospettiva</w:t>
            </w:r>
          </w:p>
        </w:tc>
        <w:tc>
          <w:tcPr>
            <w:tcW w:type="dxa" w:w="6750"/>
            <w:shd w:fill="2E5C8A" w:val="clear"/>
            <w:tcMar>
              <w:top w:type="dxa" w:w="80"/>
              <w:left w:type="dxa" w:w="100"/>
              <w:bottom w:type="dxa" w:w="80"/>
              <w:right w:type="dxa" w:w="100"/>
            </w:tcMar>
          </w:tcPr>
          <w:p>
            <w:r>
              <w:rPr>
                <w:b/>
                <w:bCs/>
                <w:color w:val="FFFFFF"/>
              </w:rPr>
              <w:t xml:space="preserve">Verdetto</w:t>
            </w:r>
          </w:p>
        </w:tc>
      </w:tr>
      <w:tr>
        <w:tc>
          <w:tcPr>
            <w:tcW w:type="dxa" w:w="2600"/>
            <w:shd w:fill="FFFFFF" w:val="clear"/>
            <w:tcMar>
              <w:top w:type="dxa" w:w="80"/>
              <w:left w:type="dxa" w:w="100"/>
              <w:bottom w:type="dxa" w:w="80"/>
              <w:right w:type="dxa" w:w="100"/>
            </w:tcMar>
          </w:tcPr>
          <w:p>
            <w:r>
              <w:t xml:space="preserve">Senior developer</w:t>
            </w:r>
          </w:p>
        </w:tc>
        <w:tc>
          <w:tcPr>
            <w:tcW w:type="dxa" w:w="6750"/>
            <w:shd w:fill="FFFFFF" w:val="clear"/>
            <w:tcMar>
              <w:top w:type="dxa" w:w="80"/>
              <w:left w:type="dxa" w:w="100"/>
              <w:bottom w:type="dxa" w:w="80"/>
              <w:right w:type="dxa" w:w="100"/>
            </w:tcMar>
          </w:tcPr>
          <w:p>
            <w:r>
              <w:t xml:space="preserve">Fondamenta solide, debito tecnico gestibile ma persistente (controller giganti, autorizzazione non centralizzata, backup/CSP ancora aperti dal 23/06).</w:t>
            </w:r>
          </w:p>
        </w:tc>
      </w:tr>
      <w:tr>
        <w:tc>
          <w:tcPr>
            <w:tcW w:type="dxa" w:w="2600"/>
            <w:shd w:fill="F5F8FB" w:val="clear"/>
            <w:tcMar>
              <w:top w:type="dxa" w:w="80"/>
              <w:left w:type="dxa" w:w="100"/>
              <w:bottom w:type="dxa" w:w="80"/>
              <w:right w:type="dxa" w:w="100"/>
            </w:tcMar>
          </w:tcPr>
          <w:p>
            <w:r>
              <w:t xml:space="preserve">Project manager</w:t>
            </w:r>
          </w:p>
        </w:tc>
        <w:tc>
          <w:tcPr>
            <w:tcW w:type="dxa" w:w="6750"/>
            <w:shd w:fill="F5F8FB" w:val="clear"/>
            <w:tcMar>
              <w:top w:type="dxa" w:w="80"/>
              <w:left w:type="dxa" w:w="100"/>
              <w:bottom w:type="dxa" w:w="80"/>
              <w:right w:type="dxa" w:w="100"/>
            </w:tcMar>
          </w:tcPr>
          <w:p>
            <w:r>
              <w:t xml:space="preserve">Velocità di consegna molto alta, ma senza gate di validazione formale (staging separato, QA indipendente, firma legale) — rischio di lanciare prima che le decisioni di business critiche siano chiuse.</w:t>
            </w:r>
          </w:p>
        </w:tc>
      </w:tr>
      <w:tr>
        <w:tc>
          <w:tcPr>
            <w:tcW w:type="dxa" w:w="2600"/>
            <w:shd w:fill="FFFFFF" w:val="clear"/>
            <w:tcMar>
              <w:top w:type="dxa" w:w="80"/>
              <w:left w:type="dxa" w:w="100"/>
              <w:bottom w:type="dxa" w:w="80"/>
              <w:right w:type="dxa" w:w="100"/>
            </w:tcMar>
          </w:tcPr>
          <w:p>
            <w:r>
              <w:t xml:space="preserve">Sostenibilità del sistema</w:t>
            </w:r>
          </w:p>
        </w:tc>
        <w:tc>
          <w:tcPr>
            <w:tcW w:type="dxa" w:w="6750"/>
            <w:shd w:fill="FFFFFF" w:val="clear"/>
            <w:tcMar>
              <w:top w:type="dxa" w:w="80"/>
              <w:left w:type="dxa" w:w="100"/>
              <w:bottom w:type="dxa" w:w="80"/>
              <w:right w:type="dxa" w:w="100"/>
            </w:tcMar>
          </w:tcPr>
          <w:p>
            <w:r>
              <w:t xml:space="preserve">Il circuito "prodotto reale" (fee, canoni, cashback) è sostenibile per costruzione. Il circuito MLM ha già la soglia punti-da-ricarica pronta e pianificata subito dopo il lancio (scelta di Laura); resta da collegarla anche a BasiQ/Bonus Diretti KNM, che oggi non la consultano.</w:t>
            </w:r>
          </w:p>
        </w:tc>
      </w:tr>
      <w:tr>
        <w:tc>
          <w:tcPr>
            <w:tcW w:type="dxa" w:w="2600"/>
            <w:shd w:fill="F5F8FB" w:val="clear"/>
            <w:tcMar>
              <w:top w:type="dxa" w:w="80"/>
              <w:left w:type="dxa" w:w="100"/>
              <w:bottom w:type="dxa" w:w="80"/>
              <w:right w:type="dxa" w:w="100"/>
            </w:tcMar>
          </w:tcPr>
          <w:p>
            <w:r>
              <w:t xml:space="preserve">Visione imprenditoriale</w:t>
            </w:r>
          </w:p>
        </w:tc>
        <w:tc>
          <w:tcPr>
            <w:tcW w:type="dxa" w:w="6750"/>
            <w:shd w:fill="F5F8FB" w:val="clear"/>
            <w:tcMar>
              <w:top w:type="dxa" w:w="80"/>
              <w:left w:type="dxa" w:w="100"/>
              <w:bottom w:type="dxa" w:w="80"/>
              <w:right w:type="dxa" w:w="100"/>
            </w:tcMar>
          </w:tcPr>
          <w:p>
            <w:r>
              <w:t xml:space="preserve">Il multilivello è l'asset più prezioso e più rischioso insieme: va blindato e poi lanciato come motore di crescita, non lanciato e blindato dopo.</w:t>
            </w:r>
          </w:p>
        </w:tc>
      </w:tr>
    </w:tbl>
    <w:p>
      <w:r>
        <w:br w:type="page"/>
      </w:r>
    </w:p>
    <w:p>
      <w:pPr>
        <w:pStyle w:val="Heading1"/>
        <w:spacing w:after="200" w:before="400"/>
      </w:pPr>
      <w:r>
        <w:t xml:space="preserve">1. Analisi da Senior Developer</w:t>
      </w:r>
    </w:p>
    <w:p>
      <w:pPr>
        <w:spacing w:after="160" w:line="300"/>
      </w:pPr>
      <w:r>
        <w:t xml:space="preserve">Questa sezione integra quanto già emerso nelle analisi tecniche precedenti (le più recenti: 17/07 e 06/07) con una verifica diretta del codice MLM aggiornato al 28/07, per capire cosa è stato davvero chiuso e cosa resta aperto.</w:t>
      </w:r>
    </w:p>
    <w:p>
      <w:pPr>
        <w:pStyle w:val="Heading2"/>
        <w:spacing w:after="150" w:before="300"/>
      </w:pPr>
      <w:r>
        <w:t xml:space="preserve">1.1 Stack e architettura</w:t>
      </w:r>
    </w:p>
    <w:p>
      <w:pPr>
        <w:pStyle w:val="ListParagraph"/>
        <w:numPr>
          <w:ilvl w:val="0"/>
          <w:numId w:val="1"/>
        </w:numPr>
        <w:spacing w:after="100" w:line="280"/>
      </w:pPr>
      <w:r>
        <w:t xml:space="preserve">Laravel 12 su PHP 8.2+, Blade + Tailwind v4 + Vite 7, WebSocket via Reverb/Echo per il realtime.</w:t>
      </w:r>
    </w:p>
    <w:p>
      <w:pPr>
        <w:pStyle w:val="ListParagraph"/>
        <w:numPr>
          <w:ilvl w:val="0"/>
          <w:numId w:val="1"/>
        </w:numPr>
        <w:spacing w:after="100" w:line="280"/>
      </w:pPr>
      <w:r>
        <w:t xml:space="preserve">Persistenza: SQLite in sviluppo, MySQL in produzione; coda/cache/sessioni su database in sviluppo, pensate per Redis in produzione.</w:t>
      </w:r>
    </w:p>
    <w:p>
      <w:pPr>
        <w:pStyle w:val="ListParagraph"/>
        <w:numPr>
          <w:ilvl w:val="0"/>
          <w:numId w:val="1"/>
        </w:numPr>
        <w:spacing w:after="100" w:line="280"/>
      </w:pPr>
      <w:r>
        <w:t xml:space="preserve">Sicurezza accesso: WebAuthn/Passkey + 2FA TOTP, PIN di pagamento, gestione token API dedicata.</w:t>
      </w:r>
    </w:p>
    <w:p>
      <w:pPr>
        <w:pStyle w:val="ListParagraph"/>
        <w:numPr>
          <w:ilvl w:val="0"/>
          <w:numId w:val="1"/>
        </w:numPr>
        <w:spacing w:after="100" w:line="280"/>
      </w:pPr>
      <w:r>
        <w:t xml:space="preserve">Deploy reale: sviluppo su Windows/Laragon → push su GitHub → cPanel con "Git Version Control" in produzione. Le migration Laravel non vengono eseguite direttamente in produzione: gli aggiornamenti di schema vengono applicati a mano via SQL su phpMyAdmin. Con 140+ migration accumulate, questo è un processo che scala male e crea rischio di disallineamento tra lo schema atteso dal codice e quello realmente presente in produzione.</w:t>
      </w:r>
    </w:p>
    <w:p>
      <w:pPr>
        <w:pStyle w:val="ListParagraph"/>
        <w:numPr>
          <w:ilvl w:val="0"/>
          <w:numId w:val="1"/>
        </w:numPr>
        <w:spacing w:after="100" w:line="280"/>
      </w:pPr>
      <w:r>
        <w:t xml:space="preserve">Il motore finanziario centrale (TransferBookingService, oltre 1.400 righe) resta il punto di maggior valore ingegneristico del progetto: partita doppia con due LedgerEntry per ogni Transfer, idempotency key, lock pessimistici, audit trail — un'architettura da manuale, non improvvisata.</w:t>
      </w:r>
    </w:p>
    <w:p>
      <w:pPr>
        <w:pStyle w:val="ListParagraph"/>
        <w:numPr>
          <w:ilvl w:val="0"/>
          <w:numId w:val="1"/>
        </w:numPr>
        <w:spacing w:after="100" w:line="280"/>
      </w:pPr>
      <w:r>
        <w:t xml:space="preserve">Copertura di test molto ampia: un'analisi recente riportava 670 test verdi su 670, e solo per il sotto-sistema MLM sono presenti oggi almeno 13 file di test dedicati (MlmRankEngineTest, MlmCommissionEngineTest, MlmTreeServiceTest, MlmPointsServiceTest, MlmAwardServiceTest, MlmBonusServiceTest, MlmPayoutServiceTest, MlmSimulatorTest, ReferralBonusServiceTest e altri), per decine di migliaia di righe di asserzioni: la disciplina di test è un vero punto di forza, raro per un progetto di queste dimensioni gestito in gran parte da un solo sviluppatore.</w:t>
      </w:r>
    </w:p>
    <w:p>
      <w:pPr>
        <w:pStyle w:val="Heading2"/>
        <w:spacing w:after="150" w:before="300"/>
      </w:pPr>
      <w:r>
        <w:t xml:space="preserve">1.2 Debito tecnico ancora aperto (verificato, non solo storico)</w:t>
      </w:r>
    </w:p>
    <w:p>
      <w:pPr>
        <w:spacing w:after="160" w:line="300"/>
      </w:pPr>
      <w:r>
        <w:t xml:space="preserve">Diversi problemi segnalati nelle analisi di giugno restano aperti a fine luglio, secondo la documentazione più recente disponibile nel repository stesso:</w:t>
      </w:r>
    </w:p>
    <w:p>
      <w:pPr>
        <w:pStyle w:val="ListParagraph"/>
        <w:numPr>
          <w:ilvl w:val="0"/>
          <w:numId w:val="1"/>
        </w:numPr>
        <w:spacing w:after="100" w:line="280"/>
      </w:pPr>
      <w:r>
        <w:t xml:space="preserve">Content-Security-Policy con unsafe-inline su script-src, segnalato dal 23/06 e ancora presente nella checklist di lancio.</w:t>
      </w:r>
    </w:p>
    <w:p>
      <w:pPr>
        <w:pStyle w:val="ListParagraph"/>
        <w:numPr>
          <w:ilvl w:val="0"/>
          <w:numId w:val="1"/>
        </w:numPr>
        <w:spacing w:after="100" w:line="280"/>
      </w:pPr>
      <w:r>
        <w:t xml:space="preserve">Nessun backup automatico del database MySQL di produzione configurato — voce ancora aperta in CHECKLIST_POST_LANCIO.md.</w:t>
      </w:r>
    </w:p>
    <w:p>
      <w:pPr>
        <w:pStyle w:val="ListParagraph"/>
        <w:numPr>
          <w:ilvl w:val="0"/>
          <w:numId w:val="1"/>
        </w:numPr>
        <w:spacing w:after="100" w:line="280"/>
      </w:pPr>
      <w:r>
        <w:t xml:space="preserve">Controller "monolite" mai spezzati: PortalController è passato da 1.848 a 1.883 righe tra giugno e luglio (è cresciuto, non diminuito); stessa situazione per WebAuthnController e NfcCardPaymentController.</w:t>
      </w:r>
    </w:p>
    <w:p>
      <w:pPr>
        <w:pStyle w:val="ListParagraph"/>
        <w:numPr>
          <w:ilvl w:val="0"/>
          <w:numId w:val="1"/>
        </w:numPr>
        <w:spacing w:after="100" w:line="280"/>
      </w:pPr>
      <w:r>
        <w:t xml:space="preserve">Assenza di Laravel Policy centralizzate: l'autorizzazione è affidata a controlli inline (abort_unless sparsi nei controller) invece che a un livello dichiarativo e testabile — rischio concreto di IDOR quando si aggiungono nuove rotte, perché non c'è un unico punto dove verificare "chi può fare cosa".</w:t>
      </w:r>
    </w:p>
    <w:p>
      <w:pPr>
        <w:pStyle w:val="ListParagraph"/>
        <w:numPr>
          <w:ilvl w:val="0"/>
          <w:numId w:val="1"/>
        </w:numPr>
        <w:spacing w:after="100" w:line="280"/>
      </w:pPr>
      <w:r>
        <w:t xml:space="preserve">Deadlock potenziale in TransferBookingService: i lock sui conti vengono sempre acquisiti nell'ordine from→to senza normalizzazione né retry automatico su fallimento di transazione.</w:t>
      </w:r>
    </w:p>
    <w:p>
      <w:pPr>
        <w:pStyle w:val="ListParagraph"/>
        <w:numPr>
          <w:ilvl w:val="0"/>
          <w:numId w:val="1"/>
        </w:numPr>
        <w:spacing w:after="100" w:line="280"/>
      </w:pPr>
      <w:r>
        <w:t xml:space="preserve">trusted_proxies() legge env() a runtime invece di config(): con config:cache attivo in produzione (buona pratica Laravel) il fallback silenzioso può alterare l'IP registrato in audit log e rate limiting.</w:t>
      </w:r>
    </w:p>
    <w:p>
      <w:pPr>
        <w:pStyle w:val="ListParagraph"/>
        <w:numPr>
          <w:ilvl w:val="0"/>
          <w:numId w:val="1"/>
        </w:numPr>
        <w:spacing w:after="100" w:line="280"/>
      </w:pPr>
      <w:r>
        <w:t xml:space="preserve">Testo del contratto reso in HTML senza sanitizzazione in almeno 5 view: rischio di stored XSS se un account amministrativo venisse compromesso.</w:t>
      </w:r>
    </w:p>
    <w:p>
      <w:pPr>
        <w:pStyle w:val="ListParagraph"/>
        <w:numPr>
          <w:ilvl w:val="0"/>
          <w:numId w:val="1"/>
        </w:numPr>
        <w:spacing w:after="100" w:line="280"/>
      </w:pPr>
      <w:r>
        <w:t xml:space="preserve">Incoerenza tra l'entità giuridica indicata nel footer del sito (KNM S.r.l.) e quella richiamata nei contratti (Kosmos S.r.l.) — un dettaglio apparentemente minore ma segnalato come condizione bloccante in almeno una delle analisi precedenti, perché rilevante ai fini della validità contrattuale con clienti e agenti.</w:t>
      </w:r>
    </w:p>
    <w:p>
      <w:pPr>
        <w:pStyle w:val="Heading2"/>
        <w:spacing w:after="150" w:before="300"/>
      </w:pPr>
      <w:r>
        <w:t xml:space="preserve">1.3 Qualità del codice del motore MLM (verifica diretta, 28/07)</w:t>
      </w:r>
    </w:p>
    <w:p>
      <w:pPr>
        <w:spacing w:after="160" w:line="300"/>
      </w:pPr>
      <w:r>
        <w:t xml:space="preserve">Ho fatto verificare direttamente il codice dei servizi MLM più recenti (MlmRankEngine, MlmPointsService, MlmAwardService, MlmBonusService, MlmCommissionEngine, MlmTreeService, MlmPayoutService, ReferralBonusService). Il giudizio è misto: la scrittura è buona, la protezione contro gli abusi economici no.</w:t>
      </w:r>
    </w:p>
    <w:p>
      <w:pPr>
        <w:pStyle w:val="ListParagraph"/>
        <w:numPr>
          <w:ilvl w:val="0"/>
          <w:numId w:val="1"/>
        </w:numPr>
        <w:spacing w:after="100" w:line="280"/>
      </w:pPr>
      <w:r>
        <w:t xml:space="preserve">Punti di forza: uso sistematico di DB::transaction() e lockForUpdate() nei punti più delicati (MlmBonusService::processEvent(), MlmPayoutService, ReferralBonusService::awardTierOrFail()); commenti estesi che spiegano il perché di ogni scelta, incluse le date e i motivi delle decisioni prese con Laura — una qualità di documentazione interna superiore alla media.</w:t>
      </w:r>
    </w:p>
    <w:p>
      <w:pPr>
        <w:pStyle w:val="ListParagraph"/>
        <w:numPr>
          <w:ilvl w:val="0"/>
          <w:numId w:val="1"/>
        </w:numPr>
        <w:spacing w:after="100" w:line="280"/>
      </w:pPr>
      <w:r>
        <w:t xml:space="preserve">Punto debole: MlmAwardService::grantDirectPointBonuses()/grantRankAward()/queueRankAward() eseguono un pattern "verifica se esiste, poi crea" senza lock esplicito né gestione dell'eccezione di violazione di unicità — in caso di doppia esecuzione concorrente (es. due job schedulati che si sovrappongono) l'unica rete di sicurezza è un vincolo UNIQUE a livello di database, che se scattasse interromperebbe il job con un errore non gestito invece di fallire in modo controllato.</w:t>
      </w:r>
    </w:p>
    <w:p>
      <w:pPr>
        <w:pStyle w:val="ListParagraph"/>
        <w:numPr>
          <w:ilvl w:val="0"/>
          <w:numId w:val="1"/>
        </w:numPr>
        <w:spacing w:after="100" w:line="280"/>
      </w:pPr>
      <w:r>
        <w:t xml:space="preserve">MlmCommissionEngine::calculateDirect()/calculateIndirect() non applicano mai un tetto massimo alla somma delle commissioni dirette+indirette rispetto al ricavo base ("Prov K") del cliente: matematicamente, con reti molto profonde (stimate attorno a 90 livelli aggiuntivi, scenario non impossibile per come è costruito il motore anche se improbabile in pratica), la somma delle commissioni potrebbe superare il 100% del ricavo generato su una singola riga.</w:t>
      </w:r>
    </w:p>
    <w:p>
      <w:pPr>
        <w:spacing w:after="80"/>
      </w:pPr>
    </w:p>
    <w:p>
      <w:pPr>
        <w:pStyle w:val="Heading2"/>
        <w:spacing w:after="150" w:before="300"/>
      </w:pPr>
      <w:r>
        <w:t xml:space="preserve">1.4 Raccomandazioni tecniche prioritarie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50"/>
      </w:tblGrid>
      <w:tr>
        <w:trPr>
          <w:tblHeader/>
        </w:trPr>
        <w:tc>
          <w:tcPr>
            <w:tcW w:type="dxa" w:w="1600"/>
            <w:shd w:fill="2E5C8A" w:val="clear"/>
            <w:tcMar>
              <w:top w:type="dxa" w:w="80"/>
              <w:left w:type="dxa" w:w="100"/>
              <w:bottom w:type="dxa" w:w="80"/>
              <w:right w:type="dxa" w:w="100"/>
            </w:tcMar>
          </w:tcPr>
          <w:p>
            <w:r>
              <w:rPr>
                <w:b/>
                <w:bCs/>
                <w:color w:val="FFFFFF"/>
              </w:rPr>
              <w:t xml:space="preserve">Priorità</w:t>
            </w:r>
          </w:p>
        </w:tc>
        <w:tc>
          <w:tcPr>
            <w:tcW w:type="dxa" w:w="4800"/>
            <w:shd w:fill="2E5C8A" w:val="clear"/>
            <w:tcMar>
              <w:top w:type="dxa" w:w="80"/>
              <w:left w:type="dxa" w:w="100"/>
              <w:bottom w:type="dxa" w:w="80"/>
              <w:right w:type="dxa" w:w="100"/>
            </w:tcMar>
          </w:tcPr>
          <w:p>
            <w:r>
              <w:rPr>
                <w:b/>
                <w:bCs/>
                <w:color w:val="FFFFFF"/>
              </w:rPr>
              <w:t xml:space="preserve">Azione</w:t>
            </w:r>
          </w:p>
        </w:tc>
        <w:tc>
          <w:tcPr>
            <w:tcW w:type="dxa" w:w="2950"/>
            <w:shd w:fill="2E5C8A" w:val="clear"/>
            <w:tcMar>
              <w:top w:type="dxa" w:w="80"/>
              <w:left w:type="dxa" w:w="100"/>
              <w:bottom w:type="dxa" w:w="80"/>
              <w:right w:type="dxa" w:w="100"/>
            </w:tcMar>
          </w:tcPr>
          <w:p>
            <w:r>
              <w:rPr>
                <w:b/>
                <w:bCs/>
                <w:color w:val="FFFFFF"/>
              </w:rPr>
              <w:t xml:space="preserve">Perché</w:t>
            </w:r>
          </w:p>
        </w:tc>
      </w:tr>
      <w:tr>
        <w:tc>
          <w:tcPr>
            <w:tcW w:type="dxa" w:w="1600"/>
            <w:shd w:fill="FFFFFF" w:val="clear"/>
            <w:tcMar>
              <w:top w:type="dxa" w:w="80"/>
              <w:left w:type="dxa" w:w="100"/>
              <w:bottom w:type="dxa" w:w="80"/>
              <w:right w:type="dxa" w:w="100"/>
            </w:tcMar>
          </w:tcPr>
          <w:p>
            <w:r>
              <w:t xml:space="preserve">Alta</w:t>
            </w:r>
          </w:p>
        </w:tc>
        <w:tc>
          <w:tcPr>
            <w:tcW w:type="dxa" w:w="4800"/>
            <w:shd w:fill="FFFFFF" w:val="clear"/>
            <w:tcMar>
              <w:top w:type="dxa" w:w="80"/>
              <w:left w:type="dxa" w:w="100"/>
              <w:bottom w:type="dxa" w:w="80"/>
              <w:right w:type="dxa" w:w="100"/>
            </w:tcMar>
          </w:tcPr>
          <w:p>
            <w:r>
              <w:t xml:space="preserve">Aggiungere lock/gestione eccezione esplicita in MlmAwardService per i bonus una tantum</w:t>
            </w:r>
          </w:p>
        </w:tc>
        <w:tc>
          <w:tcPr>
            <w:tcW w:type="dxa" w:w="2950"/>
            <w:shd w:fill="FFFFFF" w:val="clear"/>
            <w:tcMar>
              <w:top w:type="dxa" w:w="80"/>
              <w:left w:type="dxa" w:w="100"/>
              <w:bottom w:type="dxa" w:w="80"/>
              <w:right w:type="dxa" w:w="100"/>
            </w:tcMar>
          </w:tcPr>
          <w:p>
            <w:r>
              <w:t xml:space="preserve">Evita interruzioni di job su race condition e doppio pagamento silente</w:t>
            </w:r>
          </w:p>
        </w:tc>
      </w:tr>
      <w:tr>
        <w:tc>
          <w:tcPr>
            <w:tcW w:type="dxa" w:w="1600"/>
            <w:shd w:fill="F5F8FB" w:val="clear"/>
            <w:tcMar>
              <w:top w:type="dxa" w:w="80"/>
              <w:left w:type="dxa" w:w="100"/>
              <w:bottom w:type="dxa" w:w="80"/>
              <w:right w:type="dxa" w:w="100"/>
            </w:tcMar>
          </w:tcPr>
          <w:p>
            <w:r>
              <w:t xml:space="preserve">Alta</w:t>
            </w:r>
          </w:p>
        </w:tc>
        <w:tc>
          <w:tcPr>
            <w:tcW w:type="dxa" w:w="4800"/>
            <w:shd w:fill="F5F8FB" w:val="clear"/>
            <w:tcMar>
              <w:top w:type="dxa" w:w="80"/>
              <w:left w:type="dxa" w:w="100"/>
              <w:bottom w:type="dxa" w:w="80"/>
              <w:right w:type="dxa" w:w="100"/>
            </w:tcMar>
          </w:tcPr>
          <w:p>
            <w:r>
              <w:t xml:space="preserve">Introdurre un cap assoluto (es. 80-90%) sulla somma commissioni dirette+indirette rispetto al Prov K in MlmCommissionEngine</w:t>
            </w:r>
          </w:p>
        </w:tc>
        <w:tc>
          <w:tcPr>
            <w:tcW w:type="dxa" w:w="2950"/>
            <w:shd w:fill="F5F8FB" w:val="clear"/>
            <w:tcMar>
              <w:top w:type="dxa" w:w="80"/>
              <w:left w:type="dxa" w:w="100"/>
              <w:bottom w:type="dxa" w:w="80"/>
              <w:right w:type="dxa" w:w="100"/>
            </w:tcMar>
          </w:tcPr>
          <w:p>
            <w:r>
              <w:t xml:space="preserve">Garantisce matematicamente margine positivo per KNM anche su reti profonde</w:t>
            </w:r>
          </w:p>
        </w:tc>
      </w:tr>
      <w:tr>
        <w:tc>
          <w:tcPr>
            <w:tcW w:type="dxa" w:w="1600"/>
            <w:shd w:fill="FFFFFF" w:val="clear"/>
            <w:tcMar>
              <w:top w:type="dxa" w:w="80"/>
              <w:left w:type="dxa" w:w="100"/>
              <w:bottom w:type="dxa" w:w="80"/>
              <w:right w:type="dxa" w:w="100"/>
            </w:tcMar>
          </w:tcPr>
          <w:p>
            <w:r>
              <w:t xml:space="preserve">Media</w:t>
            </w:r>
          </w:p>
        </w:tc>
        <w:tc>
          <w:tcPr>
            <w:tcW w:type="dxa" w:w="4800"/>
            <w:shd w:fill="FFFFFF" w:val="clear"/>
            <w:tcMar>
              <w:top w:type="dxa" w:w="80"/>
              <w:left w:type="dxa" w:w="100"/>
              <w:bottom w:type="dxa" w:w="80"/>
              <w:right w:type="dxa" w:w="100"/>
            </w:tcMar>
          </w:tcPr>
          <w:p>
            <w:r>
              <w:t xml:space="preserve">Spezzare PortalController, WebAuthnController, NfcCardPaymentController in controller più piccoli</w:t>
            </w:r>
          </w:p>
        </w:tc>
        <w:tc>
          <w:tcPr>
            <w:tcW w:type="dxa" w:w="2950"/>
            <w:shd w:fill="FFFFFF" w:val="clear"/>
            <w:tcMar>
              <w:top w:type="dxa" w:w="80"/>
              <w:left w:type="dxa" w:w="100"/>
              <w:bottom w:type="dxa" w:w="80"/>
              <w:right w:type="dxa" w:w="100"/>
            </w:tcMar>
          </w:tcPr>
          <w:p>
            <w:r>
              <w:t xml:space="preserve">Riduce rischio di regressioni e tempo di code review</w:t>
            </w:r>
          </w:p>
        </w:tc>
      </w:tr>
      <w:tr>
        <w:tc>
          <w:tcPr>
            <w:tcW w:type="dxa" w:w="1600"/>
            <w:shd w:fill="F5F8FB" w:val="clear"/>
            <w:tcMar>
              <w:top w:type="dxa" w:w="80"/>
              <w:left w:type="dxa" w:w="100"/>
              <w:bottom w:type="dxa" w:w="80"/>
              <w:right w:type="dxa" w:w="100"/>
            </w:tcMar>
          </w:tcPr>
          <w:p>
            <w:r>
              <w:t xml:space="preserve">Media</w:t>
            </w:r>
          </w:p>
        </w:tc>
        <w:tc>
          <w:tcPr>
            <w:tcW w:type="dxa" w:w="4800"/>
            <w:shd w:fill="F5F8FB" w:val="clear"/>
            <w:tcMar>
              <w:top w:type="dxa" w:w="80"/>
              <w:left w:type="dxa" w:w="100"/>
              <w:bottom w:type="dxa" w:w="80"/>
              <w:right w:type="dxa" w:w="100"/>
            </w:tcMar>
          </w:tcPr>
          <w:p>
            <w:r>
              <w:t xml:space="preserve">Introdurre Laravel Policy per le operazioni finanziarie e amministrative sensibili</w:t>
            </w:r>
          </w:p>
        </w:tc>
        <w:tc>
          <w:tcPr>
            <w:tcW w:type="dxa" w:w="2950"/>
            <w:shd w:fill="F5F8FB" w:val="clear"/>
            <w:tcMar>
              <w:top w:type="dxa" w:w="80"/>
              <w:left w:type="dxa" w:w="100"/>
              <w:bottom w:type="dxa" w:w="80"/>
              <w:right w:type="dxa" w:w="100"/>
            </w:tcMar>
          </w:tcPr>
          <w:p>
            <w:r>
              <w:t xml:space="preserve">Centralizza l'autorizzazione, riduce rischio IDOR su nuove funzionalità</w:t>
            </w:r>
          </w:p>
        </w:tc>
      </w:tr>
      <w:tr>
        <w:tc>
          <w:tcPr>
            <w:tcW w:type="dxa" w:w="1600"/>
            <w:shd w:fill="FFFFFF" w:val="clear"/>
            <w:tcMar>
              <w:top w:type="dxa" w:w="80"/>
              <w:left w:type="dxa" w:w="100"/>
              <w:bottom w:type="dxa" w:w="80"/>
              <w:right w:type="dxa" w:w="100"/>
            </w:tcMar>
          </w:tcPr>
          <w:p>
            <w:r>
              <w:t xml:space="preserve">Media</w:t>
            </w:r>
          </w:p>
        </w:tc>
        <w:tc>
          <w:tcPr>
            <w:tcW w:type="dxa" w:w="4800"/>
            <w:shd w:fill="FFFFFF" w:val="clear"/>
            <w:tcMar>
              <w:top w:type="dxa" w:w="80"/>
              <w:left w:type="dxa" w:w="100"/>
              <w:bottom w:type="dxa" w:w="80"/>
              <w:right w:type="dxa" w:w="100"/>
            </w:tcMar>
          </w:tcPr>
          <w:p>
            <w:r>
              <w:t xml:space="preserve">Automatizzare backup MySQL di produzione + CSP nonce-based</w:t>
            </w:r>
          </w:p>
        </w:tc>
        <w:tc>
          <w:tcPr>
            <w:tcW w:type="dxa" w:w="2950"/>
            <w:shd w:fill="FFFFFF" w:val="clear"/>
            <w:tcMar>
              <w:top w:type="dxa" w:w="80"/>
              <w:left w:type="dxa" w:w="100"/>
              <w:bottom w:type="dxa" w:w="80"/>
              <w:right w:type="dxa" w:w="100"/>
            </w:tcMar>
          </w:tcPr>
          <w:p>
            <w:r>
              <w:t xml:space="preserve">Voci già aperte da tempo in checklist, a basso sforzo e alto impatto</w:t>
            </w:r>
          </w:p>
        </w:tc>
      </w:tr>
      <w:tr>
        <w:tc>
          <w:tcPr>
            <w:tcW w:type="dxa" w:w="1600"/>
            <w:shd w:fill="F5F8FB" w:val="clear"/>
            <w:tcMar>
              <w:top w:type="dxa" w:w="80"/>
              <w:left w:type="dxa" w:w="100"/>
              <w:bottom w:type="dxa" w:w="80"/>
              <w:right w:type="dxa" w:w="100"/>
            </w:tcMar>
          </w:tcPr>
          <w:p>
            <w:r>
              <w:t xml:space="preserve">Bassa/da chiarire</w:t>
            </w:r>
          </w:p>
        </w:tc>
        <w:tc>
          <w:tcPr>
            <w:tcW w:type="dxa" w:w="4800"/>
            <w:shd w:fill="F5F8FB" w:val="clear"/>
            <w:tcMar>
              <w:top w:type="dxa" w:w="80"/>
              <w:left w:type="dxa" w:w="100"/>
              <w:bottom w:type="dxa" w:w="80"/>
              <w:right w:type="dxa" w:w="100"/>
            </w:tcMar>
          </w:tcPr>
          <w:p>
            <w:r>
              <w:t xml:space="preserve">Allineare l'entità giuridica in tutti i documenti (sito, contratti, footer)</w:t>
            </w:r>
          </w:p>
        </w:tc>
        <w:tc>
          <w:tcPr>
            <w:tcW w:type="dxa" w:w="2950"/>
            <w:shd w:fill="F5F8FB" w:val="clear"/>
            <w:tcMar>
              <w:top w:type="dxa" w:w="80"/>
              <w:left w:type="dxa" w:w="100"/>
              <w:bottom w:type="dxa" w:w="80"/>
              <w:right w:type="dxa" w:w="100"/>
            </w:tcMar>
          </w:tcPr>
          <w:p>
            <w:r>
              <w:t xml:space="preserve">Prerequisito legale, non tecnico, ma blocca la validità dei contratti agente</w:t>
            </w:r>
          </w:p>
        </w:tc>
      </w:tr>
    </w:tbl>
    <w:p>
      <w:r>
        <w:br w:type="page"/>
      </w:r>
    </w:p>
    <w:p>
      <w:pPr>
        <w:pStyle w:val="Heading1"/>
        <w:spacing w:after="200" w:before="400"/>
      </w:pPr>
      <w:r>
        <w:t xml:space="preserve">2. Analisi da Project Manager</w:t>
      </w:r>
    </w:p>
    <w:p>
      <w:pPr>
        <w:pStyle w:val="Heading2"/>
        <w:spacing w:after="150" w:before="300"/>
      </w:pPr>
      <w:r>
        <w:t xml:space="preserve">2.1 Come si è svolto il lavoro finora</w:t>
      </w:r>
    </w:p>
    <w:p>
      <w:pPr>
        <w:spacing w:after="160" w:line="300"/>
      </w:pPr>
      <w:r>
        <w:t xml:space="preserve">Il ritmo di sviluppo osservabile dalla cronologia dei documenti è molto sostenuto: nella sola giornata del 27 luglio sono stati analizzati e in parte implementati quattro requisiti distinti sul sistema agenti/MLM (auto-cliente dell'agente, riassegnazione clienti, bonus segnalazione a tre livelli, requisito punti da ricariche), a cui si è aggiunta la sera stessa un'analisi separata sulla vetrina personale agente e, il giorno dopo, un fix mirato su chi paga i bonus di segnalazione. Questa velocità è un punto di forza per un progetto guidato da una sola persona, ma comporta un rischio tipico: le decisioni vengono prese e implementate rapidamente in sessione, spesso senza un ambiente di staging separato per validarle prima che raggiungano la produzione, e senza un secondo paio di occhi indipendente.</w:t>
      </w:r>
    </w:p>
    <w:p>
      <w:pPr>
        <w:pStyle w:val="ListParagraph"/>
        <w:numPr>
          <w:ilvl w:val="0"/>
          <w:numId w:val="1"/>
        </w:numPr>
        <w:spacing w:after="100" w:line="280"/>
      </w:pPr>
      <w:r>
        <w:t xml:space="preserve">I test automatici per le nuove funzionalità vengono scritti sistematicamente, ma in più occasioni non sono stati eseguiti nella sessione di sviluppo per un problema di rete dell'ambiente cloud verso i registri dei pacchetti (non un problema del codice) — la verifica finale è quindi rimandata a Laura in locale prima del deploy. Questo è un gate di qualità reale ma manuale: se anche una sola volta questo passaggio viene saltato per fretta, un bug potenziale arriva in produzione senza rete di sicurezza.</w:t>
      </w:r>
    </w:p>
    <w:p>
      <w:pPr>
        <w:pStyle w:val="ListParagraph"/>
        <w:numPr>
          <w:ilvl w:val="0"/>
          <w:numId w:val="1"/>
        </w:numPr>
        <w:spacing w:after="100" w:line="280"/>
      </w:pPr>
      <w:r>
        <w:t xml:space="preserve">Non risulta, dai documenti disponibili, un ambiente di staging distinto dalla produzione: le modifiche di schema vengono applicate direttamente su phpMyAdmin di produzione via script SQL preparati in anticipo. Funziona, ma non ha margine di errore.</w:t>
      </w:r>
    </w:p>
    <w:p>
      <w:pPr>
        <w:pStyle w:val="Heading2"/>
        <w:spacing w:after="150" w:before="300"/>
      </w:pPr>
      <w:r>
        <w:t xml:space="preserve">2.2 Condizioni di lancio già identificate (e ancora aperte)</w:t>
      </w:r>
    </w:p>
    <w:p>
      <w:pPr>
        <w:spacing w:after="160" w:line="300"/>
      </w:pPr>
      <w:r>
        <w:t xml:space="preserve">Un'analisi precedente e più ampia (17/07) aveva già messo nero su bianco dieci condizioni necessarie prima di un lancio pubblico pieno, con un giudizio finale di "procedere con un test pilota a condizioni, non lancio pieno". Riprendiamo quell'elenco perché resta, ad oggi, il miglior punto di riferimento operativo:</w:t>
      </w:r>
    </w:p>
    <w:p>
      <w:pPr>
        <w:pStyle w:val="ListParagraph"/>
        <w:numPr>
          <w:ilvl w:val="0"/>
          <w:numId w:val="1"/>
        </w:numPr>
        <w:spacing w:after="100" w:line="280"/>
      </w:pPr>
      <w:r>
        <w:t xml:space="preserve">Parere legale formale sulla qualificazione di KosmoPay/KY (rischio di ricadere nella disciplina della moneta elettronica — EMD2 — o dei buoni corrispettivo, non solo in un circuito B2B tipo Sardex).</w:t>
      </w:r>
    </w:p>
    <w:p>
      <w:pPr>
        <w:pStyle w:val="ListParagraph"/>
        <w:numPr>
          <w:ilvl w:val="0"/>
          <w:numId w:val="1"/>
        </w:numPr>
        <w:spacing w:after="100" w:line="280"/>
      </w:pPr>
      <w:r>
        <w:t xml:space="preserve">Ridisegno (o sospensione temporanea) del programma MLM finché non validato rispetto alla L. 173/2005 sulla vendita piramidale.</w:t>
      </w:r>
    </w:p>
    <w:p>
      <w:pPr>
        <w:pStyle w:val="ListParagraph"/>
        <w:numPr>
          <w:ilvl w:val="0"/>
          <w:numId w:val="1"/>
        </w:numPr>
        <w:spacing w:after="100" w:line="280"/>
      </w:pPr>
      <w:r>
        <w:t xml:space="preserve">Bonus di benvenuto limitato alla prima ricarica, con scadenza a 12 mesi.</w:t>
      </w:r>
    </w:p>
    <w:p>
      <w:pPr>
        <w:pStyle w:val="ListParagraph"/>
        <w:numPr>
          <w:ilvl w:val="0"/>
          <w:numId w:val="1"/>
        </w:numPr>
        <w:spacing w:after="100" w:line="280"/>
      </w:pPr>
      <w:r>
        <w:t xml:space="preserve">Raggiungimento di una massa critica di attività convenzionate (Minimum Viable Network, indicativamente almeno 30 attività attive con categorie merceologiche coperte) prima di aprire ai clienti finali.</w:t>
      </w:r>
    </w:p>
    <w:p>
      <w:pPr>
        <w:pStyle w:val="ListParagraph"/>
        <w:numPr>
          <w:ilvl w:val="0"/>
          <w:numId w:val="1"/>
        </w:numPr>
        <w:spacing w:after="100" w:line="280"/>
      </w:pPr>
      <w:r>
        <w:t xml:space="preserve">Impegno esplicito di riassorbimento di almeno il 35% degli euro incassati nel circuito (α ≥ 35%), per evitare che il circuito diventi un puro costo di acquisizione senza ritorno.</w:t>
      </w:r>
    </w:p>
    <w:p>
      <w:pPr>
        <w:pStyle w:val="ListParagraph"/>
        <w:numPr>
          <w:ilvl w:val="0"/>
          <w:numId w:val="1"/>
        </w:numPr>
        <w:spacing w:after="100" w:line="280"/>
      </w:pPr>
      <w:r>
        <w:t xml:space="preserve">Modello di ricavo chiaro: fee del 3% + canoni di abbonamento per le aziende.</w:t>
      </w:r>
    </w:p>
    <w:p>
      <w:pPr>
        <w:pStyle w:val="ListParagraph"/>
        <w:numPr>
          <w:ilvl w:val="0"/>
          <w:numId w:val="1"/>
        </w:numPr>
        <w:spacing w:after="100" w:line="280"/>
      </w:pPr>
      <w:r>
        <w:t xml:space="preserve">Un'unica entità giuridica coerente in tutti i documenti (vedi §1.2) e un ambiente di staging separato dalla produzione.</w:t>
      </w:r>
    </w:p>
    <w:p>
      <w:pPr>
        <w:pStyle w:val="ListParagraph"/>
        <w:numPr>
          <w:ilvl w:val="0"/>
          <w:numId w:val="1"/>
        </w:numPr>
        <w:spacing w:after="100" w:line="280"/>
      </w:pPr>
      <w:r>
        <w:t xml:space="preserve">Una dashboard di metriche operative attiva fin dal primo giorno di lancio (non aggiunta dopo).</w:t>
      </w:r>
    </w:p>
    <w:p>
      <w:pPr>
        <w:pStyle w:val="ListParagraph"/>
        <w:numPr>
          <w:ilvl w:val="0"/>
          <w:numId w:val="1"/>
        </w:numPr>
        <w:spacing w:after="100" w:line="280"/>
      </w:pPr>
      <w:r>
        <w:t xml:space="preserve">Una figura commerciale dedicata all'acquisizione di attività convenzionate, non lasciata solo al passaparola degli agenti.</w:t>
      </w:r>
    </w:p>
    <w:tbl>
      <w:tblPr>
        <w:tblW w:type="pct" w:w="100%"/>
        <w:tblBorders>
          <w:top w:val="single" w:color="8A5A00" w:sz="4"/>
          <w:left w:val="single" w:color="8A5A00" w:sz="28"/>
          <w:bottom w:val="single" w:color="8A5A00" w:sz="4"/>
          <w:right w:val="single" w:color="8A5A00"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8A5A00"/>
              </w:rPr>
              <w:t xml:space="preserve">Nota per Laura</w:t>
            </w:r>
          </w:p>
          <w:p>
            <w:pPr>
              <w:spacing w:after="0"/>
            </w:pPr>
            <w:r>
              <w:t xml:space="preserve">Non risulta, dai documenti disponibili in questa sessione, una conferma esplicita che tutte queste condizioni siano state chiuse tra il 17/07 e oggi. Prima di fissare una data di lancio pubblica conviene fare, insieme, una verifica punto per punto di questo elenco: molte richiedono decisioni di business e legali, non ore di sviluppo, e sono il vero collo di bottiglia — non il codice.</w:t>
            </w:r>
          </w:p>
        </w:tc>
      </w:tr>
    </w:tbl>
    <w:p>
      <w:pPr>
        <w:pStyle w:val="Heading2"/>
        <w:spacing w:after="150" w:before="300"/>
      </w:pPr>
      <w:r>
        <w:t xml:space="preserve">2.3 Rischio di processo principale</w:t>
      </w:r>
    </w:p>
    <w:p>
      <w:pPr>
        <w:spacing w:after="160" w:line="300"/>
      </w:pPr>
      <w:r>
        <w:t xml:space="preserve">Il rischio più grande non è un singolo bug: è la combinazione tra (a) un ritmo di sviluppo molto veloce sul sistema che genera più incertezza normativa ed economica (l'MLM) e (b) l'assenza di un gate formale — legale, finanziario, di QA indipendente — prima che le modifiche a quel sistema specifico raggiungano la produzione. Le altre parti dell'app (wallet, pagamenti, e-commerce) hanno un processo di verifica più maturo (test estesi, checklist, revisione documentata); il MLM merita lo stesso trattamento, con priorità maggiore proprio perché muove denaro reale verso l'esterno.</w:t>
      </w:r>
    </w:p>
    <w:p>
      <w:pPr>
        <w:pStyle w:val="Heading2"/>
        <w:spacing w:after="150" w:before="300"/>
      </w:pPr>
      <w:r>
        <w:t xml:space="preserve">2.4 Roadmap di processo proposta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50"/>
      </w:tblGrid>
      <w:tr>
        <w:trPr>
          <w:tblHeader/>
        </w:trPr>
        <w:tc>
          <w:tcPr>
            <w:tcW w:type="dxa" w:w="2300"/>
            <w:shd w:fill="2E5C8A" w:val="clear"/>
            <w:tcMar>
              <w:top w:type="dxa" w:w="80"/>
              <w:left w:type="dxa" w:w="100"/>
              <w:bottom w:type="dxa" w:w="80"/>
              <w:right w:type="dxa" w:w="100"/>
            </w:tcMar>
          </w:tcPr>
          <w:p>
            <w:r>
              <w:rPr>
                <w:b/>
                <w:bCs/>
                <w:color w:val="FFFFFF"/>
              </w:rPr>
              <w:t xml:space="preserve">Fase</w:t>
            </w:r>
          </w:p>
        </w:tc>
        <w:tc>
          <w:tcPr>
            <w:tcW w:type="dxa" w:w="2100"/>
            <w:shd w:fill="2E5C8A" w:val="clear"/>
            <w:tcMar>
              <w:top w:type="dxa" w:w="80"/>
              <w:left w:type="dxa" w:w="100"/>
              <w:bottom w:type="dxa" w:w="80"/>
              <w:right w:type="dxa" w:w="100"/>
            </w:tcMar>
          </w:tcPr>
          <w:p>
            <w:r>
              <w:rPr>
                <w:b/>
                <w:bCs/>
                <w:color w:val="FFFFFF"/>
              </w:rPr>
              <w:t xml:space="preserve">Durata indicativa</w:t>
            </w:r>
          </w:p>
        </w:tc>
        <w:tc>
          <w:tcPr>
            <w:tcW w:type="dxa" w:w="4950"/>
            <w:shd w:fill="2E5C8A" w:val="clear"/>
            <w:tcMar>
              <w:top w:type="dxa" w:w="80"/>
              <w:left w:type="dxa" w:w="100"/>
              <w:bottom w:type="dxa" w:w="80"/>
              <w:right w:type="dxa" w:w="100"/>
            </w:tcMar>
          </w:tcPr>
          <w:p>
            <w:r>
              <w:rPr>
                <w:b/>
                <w:bCs/>
                <w:color w:val="FFFFFF"/>
              </w:rPr>
              <w:t xml:space="preserve">Obiettivo</w:t>
            </w:r>
          </w:p>
        </w:tc>
      </w:tr>
      <w:tr>
        <w:tc>
          <w:tcPr>
            <w:tcW w:type="dxa" w:w="2300"/>
            <w:shd w:fill="FFFFFF" w:val="clear"/>
            <w:tcMar>
              <w:top w:type="dxa" w:w="80"/>
              <w:left w:type="dxa" w:w="100"/>
              <w:bottom w:type="dxa" w:w="80"/>
              <w:right w:type="dxa" w:w="100"/>
            </w:tcMar>
          </w:tcPr>
          <w:p>
            <w:r>
              <w:t xml:space="preserve">0 — Congelamento e verifica</w:t>
            </w:r>
          </w:p>
        </w:tc>
        <w:tc>
          <w:tcPr>
            <w:tcW w:type="dxa" w:w="2100"/>
            <w:shd w:fill="FFFFFF" w:val="clear"/>
            <w:tcMar>
              <w:top w:type="dxa" w:w="80"/>
              <w:left w:type="dxa" w:w="100"/>
              <w:bottom w:type="dxa" w:w="80"/>
              <w:right w:type="dxa" w:w="100"/>
            </w:tcMar>
          </w:tcPr>
          <w:p>
            <w:r>
              <w:t xml:space="preserve">1-2 settimane</w:t>
            </w:r>
          </w:p>
        </w:tc>
        <w:tc>
          <w:tcPr>
            <w:tcW w:type="dxa" w:w="4950"/>
            <w:shd w:fill="FFFFFF" w:val="clear"/>
            <w:tcMar>
              <w:top w:type="dxa" w:w="80"/>
              <w:left w:type="dxa" w:w="100"/>
              <w:bottom w:type="dxa" w:w="80"/>
              <w:right w:type="dxa" w:w="100"/>
            </w:tcMar>
          </w:tcPr>
          <w:p>
            <w:r>
              <w:t xml:space="preserve">Blocco delle nuove feature MLM; chiusura dei gap tecnici di sostenibilità (sez. 3); verifica puntuale delle 10 condizioni di lancio del 17/07.</w:t>
            </w:r>
          </w:p>
        </w:tc>
      </w:tr>
      <w:tr>
        <w:tc>
          <w:tcPr>
            <w:tcW w:type="dxa" w:w="2300"/>
            <w:shd w:fill="F5F8FB" w:val="clear"/>
            <w:tcMar>
              <w:top w:type="dxa" w:w="80"/>
              <w:left w:type="dxa" w:w="100"/>
              <w:bottom w:type="dxa" w:w="80"/>
              <w:right w:type="dxa" w:w="100"/>
            </w:tcMar>
          </w:tcPr>
          <w:p>
            <w:r>
              <w:t xml:space="preserve">1 — Parere legale e fiscale</w:t>
            </w:r>
          </w:p>
        </w:tc>
        <w:tc>
          <w:tcPr>
            <w:tcW w:type="dxa" w:w="2100"/>
            <w:shd w:fill="F5F8FB" w:val="clear"/>
            <w:tcMar>
              <w:top w:type="dxa" w:w="80"/>
              <w:left w:type="dxa" w:w="100"/>
              <w:bottom w:type="dxa" w:w="80"/>
              <w:right w:type="dxa" w:w="100"/>
            </w:tcMar>
          </w:tcPr>
          <w:p>
            <w:r>
              <w:t xml:space="preserve">parallelo alla fase 0</w:t>
            </w:r>
          </w:p>
        </w:tc>
        <w:tc>
          <w:tcPr>
            <w:tcW w:type="dxa" w:w="4950"/>
            <w:shd w:fill="F5F8FB" w:val="clear"/>
            <w:tcMar>
              <w:top w:type="dxa" w:w="80"/>
              <w:left w:type="dxa" w:w="100"/>
              <w:bottom w:type="dxa" w:w="80"/>
              <w:right w:type="dxa" w:w="100"/>
            </w:tcMar>
          </w:tcPr>
          <w:p>
            <w:r>
              <w:t xml:space="preserve">Consulenza su L.173/2005, qualificazione KY, trattamento fiscale delle commissioni EUR agli agenti (ritenuta/Enasarco).</w:t>
            </w:r>
          </w:p>
        </w:tc>
      </w:tr>
      <w:tr>
        <w:tc>
          <w:tcPr>
            <w:tcW w:type="dxa" w:w="2300"/>
            <w:shd w:fill="FFFFFF" w:val="clear"/>
            <w:tcMar>
              <w:top w:type="dxa" w:w="80"/>
              <w:left w:type="dxa" w:w="100"/>
              <w:bottom w:type="dxa" w:w="80"/>
              <w:right w:type="dxa" w:w="100"/>
            </w:tcMar>
          </w:tcPr>
          <w:p>
            <w:r>
              <w:t xml:space="preserve">2 — Pilota controllato</w:t>
            </w:r>
          </w:p>
        </w:tc>
        <w:tc>
          <w:tcPr>
            <w:tcW w:type="dxa" w:w="2100"/>
            <w:shd w:fill="FFFFFF" w:val="clear"/>
            <w:tcMar>
              <w:top w:type="dxa" w:w="80"/>
              <w:left w:type="dxa" w:w="100"/>
              <w:bottom w:type="dxa" w:w="80"/>
              <w:right w:type="dxa" w:w="100"/>
            </w:tcMar>
          </w:tcPr>
          <w:p>
            <w:r>
              <w:t xml:space="preserve">4-6 settimane</w:t>
            </w:r>
          </w:p>
        </w:tc>
        <w:tc>
          <w:tcPr>
            <w:tcW w:type="dxa" w:w="4950"/>
            <w:shd w:fill="FFFFFF" w:val="clear"/>
            <w:tcMar>
              <w:top w:type="dxa" w:w="80"/>
              <w:left w:type="dxa" w:w="100"/>
              <w:bottom w:type="dxa" w:w="80"/>
              <w:right w:type="dxa" w:w="100"/>
            </w:tcMar>
          </w:tcPr>
          <w:p>
            <w:r>
              <w:t xml:space="preserve">Lancio a rete chiusa (agenti esistenti + clienti invitati), dashboard metriche attiva, cassa di riserva monitorata settimanalmente.</w:t>
            </w:r>
          </w:p>
        </w:tc>
      </w:tr>
      <w:tr>
        <w:tc>
          <w:tcPr>
            <w:tcW w:type="dxa" w:w="2300"/>
            <w:shd w:fill="F5F8FB" w:val="clear"/>
            <w:tcMar>
              <w:top w:type="dxa" w:w="80"/>
              <w:left w:type="dxa" w:w="100"/>
              <w:bottom w:type="dxa" w:w="80"/>
              <w:right w:type="dxa" w:w="100"/>
            </w:tcMar>
          </w:tcPr>
          <w:p>
            <w:r>
              <w:t xml:space="preserve">3 — Apertura graduale</w:t>
            </w:r>
          </w:p>
        </w:tc>
        <w:tc>
          <w:tcPr>
            <w:tcW w:type="dxa" w:w="2100"/>
            <w:shd w:fill="F5F8FB" w:val="clear"/>
            <w:tcMar>
              <w:top w:type="dxa" w:w="80"/>
              <w:left w:type="dxa" w:w="100"/>
              <w:bottom w:type="dxa" w:w="80"/>
              <w:right w:type="dxa" w:w="100"/>
            </w:tcMar>
          </w:tcPr>
          <w:p>
            <w:r>
              <w:t xml:space="preserve">da definire in base ai risultati del pilota</w:t>
            </w:r>
          </w:p>
        </w:tc>
        <w:tc>
          <w:tcPr>
            <w:tcW w:type="dxa" w:w="4950"/>
            <w:shd w:fill="F5F8FB" w:val="clear"/>
            <w:tcMar>
              <w:top w:type="dxa" w:w="80"/>
              <w:left w:type="dxa" w:w="100"/>
              <w:bottom w:type="dxa" w:w="80"/>
              <w:right w:type="dxa" w:w="100"/>
            </w:tcMar>
          </w:tcPr>
          <w:p>
            <w:r>
              <w:t xml:space="preserve">Apertura pubblica solo dopo MVN raggiunto e α di riassorbimento verificato sui dati reali del pilota, non stimato a tavolino.</w:t>
            </w:r>
          </w:p>
        </w:tc>
      </w:tr>
    </w:tbl>
    <w:p>
      <w:r>
        <w:br w:type="page"/>
      </w:r>
    </w:p>
    <w:p>
      <w:pPr>
        <w:pStyle w:val="Heading1"/>
        <w:spacing w:after="200" w:before="400"/>
      </w:pPr>
      <w:r>
        <w:t xml:space="preserve">3. Analisi di sostenibilità</w:t>
      </w:r>
    </w:p>
    <w:p>
      <w:pPr>
        <w:spacing w:after="160" w:line="300"/>
      </w:pPr>
      <w:r>
        <w:t xml:space="preserve">Distinguo qui due sistemi economici che convivono nell'app, perché hanno una salute molto diversa: il circuito "prodotto" (wallet, pagamenti, fee, cashback, e-commerce) e il circuito "crescita" (MLM e referral). Il primo è sostenibile per costruzione: ogni euro che esce ha una fee o un margine associato. Il secondo, oggi, non lo è ancora, e merita un approfondimento numerico.</w:t>
      </w:r>
    </w:p>
    <w:p>
      <w:pPr>
        <w:pStyle w:val="Heading2"/>
        <w:spacing w:after="150" w:before="300"/>
      </w:pPr>
      <w:r>
        <w:t xml:space="preserve">3.1 Il circuito prodotto: sano</w:t>
      </w:r>
    </w:p>
    <w:p>
      <w:pPr>
        <w:pStyle w:val="ListParagraph"/>
        <w:numPr>
          <w:ilvl w:val="0"/>
          <w:numId w:val="1"/>
        </w:numPr>
        <w:spacing w:after="100" w:line="280"/>
      </w:pPr>
      <w:r>
        <w:t xml:space="preserve">Fee di transazione al 3% e canoni di abbonamento per le aziende come fonti di ricavo dichiarate e coerenti.</w:t>
      </w:r>
    </w:p>
    <w:p>
      <w:pPr>
        <w:pStyle w:val="ListParagraph"/>
        <w:numPr>
          <w:ilvl w:val="0"/>
          <w:numId w:val="1"/>
        </w:numPr>
        <w:spacing w:after="100" w:line="280"/>
      </w:pPr>
      <w:r>
        <w:t xml:space="preserve">Bonus di benvenuto attuale (25% sulla prima ricarica secondo il modello B2C in fase di rebrand) è un costo di acquisizione, non un moltiplicatore infinito, se — come raccomandato — viene limitato alla prima ricarica con scadenza a 12 mesi.</w:t>
      </w:r>
    </w:p>
    <w:p>
      <w:pPr>
        <w:pStyle w:val="ListParagraph"/>
        <w:numPr>
          <w:ilvl w:val="0"/>
          <w:numId w:val="1"/>
        </w:numPr>
        <w:spacing w:after="100" w:line="280"/>
      </w:pPr>
      <w:r>
        <w:t xml:space="preserve">Il motore di trasferimento (TransferBookingService) garantisce la tenuta contabile: partita doppia rigorosa, nessun "buco" di conciliazione noto nei documenti analizzati.</w:t>
      </w:r>
    </w:p>
    <w:p>
      <w:pPr>
        <w:pStyle w:val="Heading2"/>
        <w:spacing w:after="150" w:before="300"/>
      </w:pPr>
      <w:r>
        <w:t xml:space="preserve">3.2 Il circuito MLM: il vero nodo da sciogliere</w:t>
      </w:r>
    </w:p>
    <w:p>
      <w:pPr>
        <w:spacing w:after="160" w:line="300"/>
      </w:pPr>
      <w:r>
        <w:t xml:space="preserve">Il programma KNM prevede una gerarchia a sei gradi (Start, Basic, Key, Senior, Top, SuperVisor, Manager) con tre meccanismi di guadagno per gli agenti, tutti liquidati in euro reali tramite bonifico, fuori dal circuito KY interno:</w:t>
      </w:r>
    </w:p>
    <w:p>
      <w:pPr>
        <w:pStyle w:val="ListParagraph"/>
        <w:numPr>
          <w:ilvl w:val="0"/>
          <w:numId w:val="1"/>
        </w:numPr>
        <w:spacing w:after="100" w:line="280"/>
      </w:pPr>
      <w:r>
        <w:t xml:space="preserve">Commissioni mensili su "Prov K" (il ricavo KNM, pari all'importo per un margine configurabile, di default il 30%): dirette fino al 40% per l'agente diretto, indirette scaglionate sui livelli 1-5 (rispettivamente 4% / 2% / 1% / 0,5% / 8%, che sommate arrivano al 15,5%) e uno 0,5% aggiuntivo per ogni livello oltre il quinto per i gradi Top e superiori, senza un limite massimo di profondità.</w:t>
      </w:r>
    </w:p>
    <w:p>
      <w:pPr>
        <w:pStyle w:val="ListParagraph"/>
        <w:numPr>
          <w:ilvl w:val="0"/>
          <w:numId w:val="1"/>
        </w:numPr>
        <w:spacing w:after="100" w:line="280"/>
      </w:pPr>
      <w:r>
        <w:t xml:space="preserve">Bonus di struttura settimanali "telescopici" (pagati ogni mercoledì): 60€ Key, 110€ Senior, 150€ Top, 180€ SuperVisor, 200€ Manager — costruiti in modo che la somma pagata lungo la catena non superi mai l'importo del grado più alto coinvolto.</w:t>
      </w:r>
    </w:p>
    <w:p>
      <w:pPr>
        <w:pStyle w:val="ListParagraph"/>
        <w:numPr>
          <w:ilvl w:val="0"/>
          <w:numId w:val="1"/>
        </w:numPr>
        <w:spacing w:after="100" w:line="280"/>
      </w:pPr>
      <w:r>
        <w:t xml:space="preserve">Bonus Diretti KNM una tantum, legati al raggiungimento di soglie di punti personali (4/6/12 punti → 200/300/400€), cumulabili fino a 900€, e Extra Bonus alla prima promozione (Senior 300€, Top 3.000€, SuperVisor 5.000€, Manager 20.000€).</w:t>
      </w:r>
    </w:p>
    <w:p>
      <w:pPr>
        <w:spacing w:after="160" w:line="300"/>
      </w:pPr>
      <w:r>
        <w:t xml:space="preserve">A questi si è aggiunto il 27/07 un programma di referral separato, in KY (non EUR): 10 KY per la segnalazione di un amico privato, 50 KY per la segnalazione di un nuovo agente, 100 KY per la segnalazione di un'attività che completa il KYC. Dal 28/07, i primi due livelli sono finanziati dal conto dell'agente di riferimento del cliente segnalante (non più dal conto madre), mentre il terzo resta a carico del conto madre in quanto unico caso di reale emissione di nuova moneta nel circuito.</w:t>
      </w:r>
    </w:p>
    <w:p>
      <w:pPr>
        <w:pStyle w:val="Heading3"/>
        <w:spacing w:after="120" w:before="240"/>
      </w:pPr>
      <w:r>
        <w:t xml:space="preserve">Il problema quantificato, e il piano già previsto da Laura per chiuderlo</w:t>
      </w:r>
    </w:p>
    <w:tbl>
      <w:tblPr>
        <w:tblW w:type="pct" w:w="100%"/>
        <w:tblBorders>
          <w:top w:val="single" w:color="8A5A00" w:sz="4"/>
          <w:left w:val="single" w:color="8A5A00" w:sz="28"/>
          <w:bottom w:val="single" w:color="8A5A00" w:sz="4"/>
          <w:right w:val="single" w:color="8A5A00"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8A5A00"/>
              </w:rPr>
              <w:t xml:space="preserve">Scenario concreto</w:t>
            </w:r>
          </w:p>
          <w:p>
            <w:pPr>
              <w:spacing w:after="0"/>
            </w:pPr>
            <w:r>
              <w:t xml:space="preserve">Un agente registra 12 clienti privati in 30 giorni. Nessuno di loro effettua mai una ricarica. Il sistema di punti conta 1 punto per ogni registrazione, e 12 punti in 30 giorni fanno scattare l'evento "BasiQ", che a sua volta abilita i Bonus Diretti KNM (fino a 900€) più l'eventuale cascata verso l'upline (fino a ~200€ aggiuntivi), senza che sia avvenuta alcuna ricarica reale. L'operazione è ripetibile ogni 30 giorni.</w:t>
            </w:r>
          </w:p>
        </w:tc>
      </w:tr>
    </w:tbl>
    <w:p>
      <w:pPr>
        <w:spacing w:after="80"/>
      </w:pPr>
    </w:p>
    <w:p>
      <w:pPr>
        <w:spacing w:after="160" w:line="300"/>
      </w:pPr>
      <w:r>
        <w:t xml:space="preserve">È importante inquadrare correttamente questo scenario: i clienti registrati, anche senza ricarica, hanno comunque un valore reale per l'azienda — allargano la rete, generano dati, sono una base di utenti futuribile. Non è quindi corretto trattare ogni registrazione senza ricarica come puro spreco: è un canale di crescita legittimo. Il tema è un altro, più preciso: assicurarsi che i bonus in denaro erogati per la crescita della rete restino, nel tempo, agganciati a un indicatore di attività economica reale — altrimenti il canale di crescita legittimo diventa anche uno sfruttabile a costo zero.</w:t>
      </w:r>
    </w:p>
    <w:p>
      <w:pPr>
        <w:spacing w:after="160" w:line="300"/>
      </w:pPr>
      <w:r>
        <w:t xml:space="preserve">Questo scenario era già stato identificato e quantificato in un'analisi del 24/07, con quattro correzioni raccomandate: un requisito di punti minimi da ricariche reali (min_deposit_points), un requisito di clienti paganti (non solo registrati), un gate specifico sull'evento BasiQ, e un tetto assoluto sulle commissioni. Ho fatto verificare sul codice più recente (28/07) cosa di tutto questo è già stato costruito, e la situazione — confermata direttamente da Laura — è la seguente:</w:t>
      </w:r>
    </w:p>
    <w:p>
      <w:pPr>
        <w:pStyle w:val="ListParagraph"/>
        <w:numPr>
          <w:ilvl w:val="0"/>
          <w:numId w:val="1"/>
        </w:numPr>
        <w:spacing w:after="100" w:line="280"/>
      </w:pPr>
      <w:r>
        <w:t xml:space="preserve">Il campo min_deposit_points è stato aggiunto il 27/07 alla tabella dei requisiti di grado ed è già amministrabile. È tenuto a 0 per tutti i gradi per scelta esplicita di Laura durante il periodo di lancio: il piano è impostare una soglia reale subito dopo. Non è quindi un gap dimenticato, ma un'attivazione pianificata a breve termine.</w:t>
      </w:r>
    </w:p>
    <w:p>
      <w:pPr>
        <w:pStyle w:val="ListParagraph"/>
        <w:numPr>
          <w:ilvl w:val="0"/>
          <w:numId w:val="1"/>
        </w:numPr>
        <w:spacing w:after="100" w:line="280"/>
      </w:pPr>
      <w:r>
        <w:t xml:space="preserve">Il campo min_clients (aggiunto il 22/07, soglie 6/12/24/24/24/24) non distingue clienti paganti da clienti solo registrati — coerente con il fatto che le registrazioni hanno comunque valore di rete, ma va tenuto presente quando si valuta cosa protegge davvero questo requisito da solo.</w:t>
      </w:r>
    </w:p>
    <w:p>
      <w:pPr>
        <w:pStyle w:val="ListParagraph"/>
        <w:numPr>
          <w:ilvl w:val="0"/>
          <w:numId w:val="1"/>
        </w:numPr>
        <w:spacing w:after="100" w:line="280"/>
      </w:pPr>
      <w:r>
        <w:t xml:space="preserve">Punto tecnico da non perdere per quando la soglia verrà attivata: l'evento BasiQ e i Bonus Diretti KNM non passano affatto dalla tabella dei requisiti di grado. Il servizio che li calcola confronta i punti totali dell'agente (registrazione + deposito sommati) contro le soglie 4/6/12, senza mai isolare la componente "da ricarica". Questo significa che, anche una volta impostata una soglia reale di min_deposit_points, quella soglia proteggerà le qualifiche di grado (Basic/Key/Senior...) ma non toccherà BasiQ né i Bonus Diretti KNM, che restano un meccanismo separato — vanno collegati esplicitamente perché la correzione già pianificata produca l'effetto voluto ovunque.</w:t>
      </w:r>
    </w:p>
    <w:p>
      <w:pPr>
        <w:pStyle w:val="ListParagraph"/>
        <w:numPr>
          <w:ilvl w:val="0"/>
          <w:numId w:val="1"/>
        </w:numPr>
        <w:spacing w:after="100" w:line="280"/>
      </w:pPr>
      <w:r>
        <w:t xml:space="preserve">Il nuovo ReferralBonusService ha un'esposizione simile e distinta (non coperta dal piano min_deposit_points, perché riguarda KY di segnalazione, non punti/ranghi): il bonus "amico" (10 KY) viene erogato subito alla registrazione, senza verifica di identità/KYC preventiva, senza limite al numero di segnalazioni per segnalante né controllo su email/telefono duplicati (il campo telefono non ha vincolo di unicità nel sistema). Un utente potrebbe creare più account fittizi con email diverse, farli registrare tramite il proprio codice di invito, e incassare KY ripetutamente. Se il segnalante non ha un agente di riferimento assegnato, questi KY vengono emessi come moneta nuova dal conto madre; se ce l'ha, il costo ricade sul conto dell'agente, che non ha limite di fido applicabile in questo flusso (l'iniziatore è sempre un super amministratore) — un downline malevolo potrebbe spingere il conto di un agente incolpevole in negativo, con solo una notifica a posteriori come mitigazione.</w:t>
      </w:r>
    </w:p>
    <w:p>
      <w:pPr>
        <w:pStyle w:val="Heading3"/>
        <w:spacing w:after="120" w:before="240"/>
      </w:pPr>
      <w:r>
        <w:t xml:space="preserve">Perché questo è un rischio legale, non solo contabile</w:t>
      </w:r>
    </w:p>
    <w:p>
      <w:pPr>
        <w:spacing w:after="160" w:line="300"/>
      </w:pPr>
      <w:r>
        <w:t xml:space="preserve">Un meccanismo che remunera chi segnala nuove persone indipendentemente da un acquisto o consumo reale di prodotti/servizi è esattamente la definizione che la normativa italiana (L. 173/2005) usa per individuare la vendita piramidale vietata. Le analisi precedenti lo avevano già segnalato come "il rischio legale più concreto del progetto": per questo, oltre a completare i collegamenti tecnici già pianificati, resta importante un parere legale formale prima di ampliare pubblicamente il programma.</w:t>
      </w:r>
    </w:p>
    <w:p>
      <w:pPr>
        <w:pStyle w:val="Heading3"/>
        <w:spacing w:after="120" w:before="240"/>
      </w:pPr>
      <w:r>
        <w:t xml:space="preserve">Sostenibilità finanziaria a regime (scenario con ricariche vere)</w:t>
      </w:r>
    </w:p>
    <w:p>
      <w:pPr>
        <w:spacing w:after="160" w:line="300"/>
      </w:pPr>
      <w:r>
        <w:t xml:space="preserve">Nello scenario "onesto", in cui i clienti segnalati fanno davvero ricariche, la matematica regge meglio: le commissioni si calcolano su una frazione dell'importo (il Prov K, cioè margine KNM × importo), e il margine residuo per l'azienda resta positivo negli scenari realistici stimati (tra l'11,9% e il 22,8% su una ricarica da 1.200€). Il vincolo reale, in questo scenario, non è la percentuale ma la cassa: le commissioni sono liquidate in euro reali via bonifico, quindi serve un fondo di riserva dedicato (una raccomandazione già formulata: trattenere il 20-30% del Prov K incassato come cuscinetto) prima di autorizzare payout sopra una certa soglia.</w:t>
      </w:r>
    </w:p>
    <w:p>
      <w:pPr>
        <w:pStyle w:val="Heading2"/>
        <w:spacing w:after="150" w:before="300"/>
      </w:pPr>
      <w:r>
        <w:t xml:space="preserve">3.3 Raccomandazioni di sostenibilità, in ordine di urgenza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50"/>
      </w:tblGrid>
      <w:tr>
        <w:trPr>
          <w:tblHeader/>
        </w:trPr>
        <w:tc>
          <w:tcPr>
            <w:tcW w:type="dxa" w:w="1500"/>
            <w:shd w:fill="2E5C8A" w:val="clear"/>
            <w:tcMar>
              <w:top w:type="dxa" w:w="80"/>
              <w:left w:type="dxa" w:w="100"/>
              <w:bottom w:type="dxa" w:w="80"/>
              <w:right w:type="dxa" w:w="100"/>
            </w:tcMar>
          </w:tcPr>
          <w:p>
            <w:r>
              <w:rPr>
                <w:b/>
                <w:bCs/>
                <w:color w:val="FFFFFF"/>
              </w:rPr>
              <w:t xml:space="preserve">Priorità</w:t>
            </w:r>
          </w:p>
        </w:tc>
        <w:tc>
          <w:tcPr>
            <w:tcW w:type="dxa" w:w="5000"/>
            <w:shd w:fill="2E5C8A" w:val="clear"/>
            <w:tcMar>
              <w:top w:type="dxa" w:w="80"/>
              <w:left w:type="dxa" w:w="100"/>
              <w:bottom w:type="dxa" w:w="80"/>
              <w:right w:type="dxa" w:w="100"/>
            </w:tcMar>
          </w:tcPr>
          <w:p>
            <w:r>
              <w:rPr>
                <w:b/>
                <w:bCs/>
                <w:color w:val="FFFFFF"/>
              </w:rPr>
              <w:t xml:space="preserve">Correzione</w:t>
            </w:r>
          </w:p>
        </w:tc>
        <w:tc>
          <w:tcPr>
            <w:tcW w:type="dxa" w:w="2850"/>
            <w:shd w:fill="2E5C8A" w:val="clear"/>
            <w:tcMar>
              <w:top w:type="dxa" w:w="80"/>
              <w:left w:type="dxa" w:w="100"/>
              <w:bottom w:type="dxa" w:w="80"/>
              <w:right w:type="dxa" w:w="100"/>
            </w:tcMar>
          </w:tcPr>
          <w:p>
            <w:r>
              <w:rPr>
                <w:b/>
                <w:bCs/>
                <w:color w:val="FFFFFF"/>
              </w:rPr>
              <w:t xml:space="preserve">Effetto atteso</w:t>
            </w:r>
          </w:p>
        </w:tc>
      </w:tr>
      <w:tr>
        <w:tc>
          <w:tcPr>
            <w:tcW w:type="dxa" w:w="1500"/>
            <w:shd w:fill="FFFFFF" w:val="clear"/>
            <w:tcMar>
              <w:top w:type="dxa" w:w="80"/>
              <w:left w:type="dxa" w:w="100"/>
              <w:bottom w:type="dxa" w:w="80"/>
              <w:right w:type="dxa" w:w="100"/>
            </w:tcMar>
          </w:tcPr>
          <w:p>
            <w:r>
              <w:t xml:space="preserve">Critica</w:t>
            </w:r>
          </w:p>
        </w:tc>
        <w:tc>
          <w:tcPr>
            <w:tcW w:type="dxa" w:w="5000"/>
            <w:shd w:fill="FFFFFF" w:val="clear"/>
            <w:tcMar>
              <w:top w:type="dxa" w:w="80"/>
              <w:left w:type="dxa" w:w="100"/>
              <w:bottom w:type="dxa" w:w="80"/>
              <w:right w:type="dxa" w:w="100"/>
            </w:tcMar>
          </w:tcPr>
          <w:p>
            <w:r>
              <w:t xml:space="preserve">Quando si attiva min_deposit_points dopo il lancio (piano già previsto), collegare ESPLICITAMENTE anche l'evento BasiQ e i Bonus Diretti KNM alla stessa soglia (oggi usano un meccanismo separato, es. almeno 6 dei 12 punti BasiQ da almeno 3 ricariche ≥120€)</w:t>
            </w:r>
          </w:p>
        </w:tc>
        <w:tc>
          <w:tcPr>
            <w:tcW w:type="dxa" w:w="2850"/>
            <w:shd w:fill="FFFFFF" w:val="clear"/>
            <w:tcMar>
              <w:top w:type="dxa" w:w="80"/>
              <w:left w:type="dxa" w:w="100"/>
              <w:bottom w:type="dxa" w:w="80"/>
              <w:right w:type="dxa" w:w="100"/>
            </w:tcMar>
          </w:tcPr>
          <w:p>
            <w:r>
              <w:t xml:space="preserve">Senza questo collegamento, l'attivazione della soglia proteggerà solo le qualifiche di grado, non questi due bonus</w:t>
            </w:r>
          </w:p>
        </w:tc>
      </w:tr>
      <w:tr>
        <w:tc>
          <w:tcPr>
            <w:tcW w:type="dxa" w:w="1500"/>
            <w:shd w:fill="F5F8FB" w:val="clear"/>
            <w:tcMar>
              <w:top w:type="dxa" w:w="80"/>
              <w:left w:type="dxa" w:w="100"/>
              <w:bottom w:type="dxa" w:w="80"/>
              <w:right w:type="dxa" w:w="100"/>
            </w:tcMar>
          </w:tcPr>
          <w:p>
            <w:r>
              <w:t xml:space="preserve">Alta</w:t>
            </w:r>
          </w:p>
        </w:tc>
        <w:tc>
          <w:tcPr>
            <w:tcW w:type="dxa" w:w="5000"/>
            <w:shd w:fill="F5F8FB" w:val="clear"/>
            <w:tcMar>
              <w:top w:type="dxa" w:w="80"/>
              <w:left w:type="dxa" w:w="100"/>
              <w:bottom w:type="dxa" w:w="80"/>
              <w:right w:type="dxa" w:w="100"/>
            </w:tcMar>
          </w:tcPr>
          <w:p>
            <w:r>
              <w:t xml:space="preserve">Impostare min_deposit_points a un valore reale per almeno i gradi Key e superiori, secondo il piano già previsto per il periodo post-lancio</w:t>
            </w:r>
          </w:p>
        </w:tc>
        <w:tc>
          <w:tcPr>
            <w:tcW w:type="dxa" w:w="2850"/>
            <w:shd w:fill="F5F8FB" w:val="clear"/>
            <w:tcMar>
              <w:top w:type="dxa" w:w="80"/>
              <w:left w:type="dxa" w:w="100"/>
              <w:bottom w:type="dxa" w:w="80"/>
              <w:right w:type="dxa" w:w="100"/>
            </w:tcMar>
          </w:tcPr>
          <w:p>
            <w:r>
              <w:t xml:space="preserve">Attiva una protezione già pronta nello schema, con tempistica scelta consapevolmente da Laura</w:t>
            </w:r>
          </w:p>
        </w:tc>
      </w:tr>
      <w:tr>
        <w:tc>
          <w:tcPr>
            <w:tcW w:type="dxa" w:w="1500"/>
            <w:shd w:fill="FFFFFF" w:val="clear"/>
            <w:tcMar>
              <w:top w:type="dxa" w:w="80"/>
              <w:left w:type="dxa" w:w="100"/>
              <w:bottom w:type="dxa" w:w="80"/>
              <w:right w:type="dxa" w:w="100"/>
            </w:tcMar>
          </w:tcPr>
          <w:p>
            <w:r>
              <w:t xml:space="preserve">Alta</w:t>
            </w:r>
          </w:p>
        </w:tc>
        <w:tc>
          <w:tcPr>
            <w:tcW w:type="dxa" w:w="5000"/>
            <w:shd w:fill="FFFFFF" w:val="clear"/>
            <w:tcMar>
              <w:top w:type="dxa" w:w="80"/>
              <w:left w:type="dxa" w:w="100"/>
              <w:bottom w:type="dxa" w:w="80"/>
              <w:right w:type="dxa" w:w="100"/>
            </w:tcMar>
          </w:tcPr>
          <w:p>
            <w:r>
              <w:t xml:space="preserve">Aggiungere verifica anti-frode a ReferralBonusService: limite di segnalazioni per KYC completato, vincolo di unicità telefono/documento, eventuale ritardo di erogazione fino a conferma identità</w:t>
            </w:r>
          </w:p>
        </w:tc>
        <w:tc>
          <w:tcPr>
            <w:tcW w:type="dxa" w:w="2850"/>
            <w:shd w:fill="FFFFFF" w:val="clear"/>
            <w:tcMar>
              <w:top w:type="dxa" w:w="80"/>
              <w:left w:type="dxa" w:w="100"/>
              <w:bottom w:type="dxa" w:w="80"/>
              <w:right w:type="dxa" w:w="100"/>
            </w:tcMar>
          </w:tcPr>
          <w:p>
            <w:r>
              <w:t xml:space="preserve">Chiude il secondo fronte di creazione di moneta senza contropartita</w:t>
            </w:r>
          </w:p>
        </w:tc>
      </w:tr>
      <w:tr>
        <w:tc>
          <w:tcPr>
            <w:tcW w:type="dxa" w:w="1500"/>
            <w:shd w:fill="F5F8FB" w:val="clear"/>
            <w:tcMar>
              <w:top w:type="dxa" w:w="80"/>
              <w:left w:type="dxa" w:w="100"/>
              <w:bottom w:type="dxa" w:w="80"/>
              <w:right w:type="dxa" w:w="100"/>
            </w:tcMar>
          </w:tcPr>
          <w:p>
            <w:r>
              <w:t xml:space="preserve">Alta</w:t>
            </w:r>
          </w:p>
        </w:tc>
        <w:tc>
          <w:tcPr>
            <w:tcW w:type="dxa" w:w="5000"/>
            <w:shd w:fill="F5F8FB" w:val="clear"/>
            <w:tcMar>
              <w:top w:type="dxa" w:w="80"/>
              <w:left w:type="dxa" w:w="100"/>
              <w:bottom w:type="dxa" w:w="80"/>
              <w:right w:type="dxa" w:w="100"/>
            </w:tcMar>
          </w:tcPr>
          <w:p>
            <w:r>
              <w:t xml:space="preserve">Introdurre un tetto assoluto sulle commissioni MLM rispetto al Prov K (sez. 1.3)</w:t>
            </w:r>
          </w:p>
        </w:tc>
        <w:tc>
          <w:tcPr>
            <w:tcW w:type="dxa" w:w="2850"/>
            <w:shd w:fill="F5F8FB" w:val="clear"/>
            <w:tcMar>
              <w:top w:type="dxa" w:w="80"/>
              <w:left w:type="dxa" w:w="100"/>
              <w:bottom w:type="dxa" w:w="80"/>
              <w:right w:type="dxa" w:w="100"/>
            </w:tcMar>
          </w:tcPr>
          <w:p>
            <w:r>
              <w:t xml:space="preserve">Garanzia matematica di margine positivo indipendentemente dalla profondità di rete</w:t>
            </w:r>
          </w:p>
        </w:tc>
      </w:tr>
      <w:tr>
        <w:tc>
          <w:tcPr>
            <w:tcW w:type="dxa" w:w="1500"/>
            <w:shd w:fill="FFFFFF" w:val="clear"/>
            <w:tcMar>
              <w:top w:type="dxa" w:w="80"/>
              <w:left w:type="dxa" w:w="100"/>
              <w:bottom w:type="dxa" w:w="80"/>
              <w:right w:type="dxa" w:w="100"/>
            </w:tcMar>
          </w:tcPr>
          <w:p>
            <w:r>
              <w:t xml:space="preserve">Alta</w:t>
            </w:r>
          </w:p>
        </w:tc>
        <w:tc>
          <w:tcPr>
            <w:tcW w:type="dxa" w:w="5000"/>
            <w:shd w:fill="FFFFFF" w:val="clear"/>
            <w:tcMar>
              <w:top w:type="dxa" w:w="80"/>
              <w:left w:type="dxa" w:w="100"/>
              <w:bottom w:type="dxa" w:w="80"/>
              <w:right w:type="dxa" w:w="100"/>
            </w:tcMar>
          </w:tcPr>
          <w:p>
            <w:r>
              <w:t xml:space="preserve">Parere legale formale su L.173/2005 prima di riattivare/ampliare il programma KNM</w:t>
            </w:r>
          </w:p>
        </w:tc>
        <w:tc>
          <w:tcPr>
            <w:tcW w:type="dxa" w:w="2850"/>
            <w:shd w:fill="FFFFFF" w:val="clear"/>
            <w:tcMar>
              <w:top w:type="dxa" w:w="80"/>
              <w:left w:type="dxa" w:w="100"/>
              <w:bottom w:type="dxa" w:w="80"/>
              <w:right w:type="dxa" w:w="100"/>
            </w:tcMar>
          </w:tcPr>
          <w:p>
            <w:r>
              <w:t xml:space="preserve">Copertura del rischio più grave del progetto</w:t>
            </w:r>
          </w:p>
        </w:tc>
      </w:tr>
      <w:tr>
        <w:tc>
          <w:tcPr>
            <w:tcW w:type="dxa" w:w="1500"/>
            <w:shd w:fill="F5F8FB" w:val="clear"/>
            <w:tcMar>
              <w:top w:type="dxa" w:w="80"/>
              <w:left w:type="dxa" w:w="100"/>
              <w:bottom w:type="dxa" w:w="80"/>
              <w:right w:type="dxa" w:w="100"/>
            </w:tcMar>
          </w:tcPr>
          <w:p>
            <w:r>
              <w:t xml:space="preserve">Media</w:t>
            </w:r>
          </w:p>
        </w:tc>
        <w:tc>
          <w:tcPr>
            <w:tcW w:type="dxa" w:w="5000"/>
            <w:shd w:fill="F5F8FB" w:val="clear"/>
            <w:tcMar>
              <w:top w:type="dxa" w:w="80"/>
              <w:left w:type="dxa" w:w="100"/>
              <w:bottom w:type="dxa" w:w="80"/>
              <w:right w:type="dxa" w:w="100"/>
            </w:tcMar>
          </w:tcPr>
          <w:p>
            <w:r>
              <w:t xml:space="preserve">Fondo di riserva esplicito (20-30% del Prov K incassato) con soglia di blocco automatico dei payout</w:t>
            </w:r>
          </w:p>
        </w:tc>
        <w:tc>
          <w:tcPr>
            <w:tcW w:type="dxa" w:w="2850"/>
            <w:shd w:fill="F5F8FB" w:val="clear"/>
            <w:tcMar>
              <w:top w:type="dxa" w:w="80"/>
              <w:left w:type="dxa" w:w="100"/>
              <w:bottom w:type="dxa" w:w="80"/>
              <w:right w:type="dxa" w:w="100"/>
            </w:tcMar>
          </w:tcPr>
          <w:p>
            <w:r>
              <w:t xml:space="preserve">Protegge la cassa reale dagli impegni MLM anche in scenari di crescita rapida</w:t>
            </w:r>
          </w:p>
        </w:tc>
      </w:tr>
      <w:tr>
        <w:tc>
          <w:tcPr>
            <w:tcW w:type="dxa" w:w="1500"/>
            <w:shd w:fill="FFFFFF" w:val="clear"/>
            <w:tcMar>
              <w:top w:type="dxa" w:w="80"/>
              <w:left w:type="dxa" w:w="100"/>
              <w:bottom w:type="dxa" w:w="80"/>
              <w:right w:type="dxa" w:w="100"/>
            </w:tcMar>
          </w:tcPr>
          <w:p>
            <w:r>
              <w:t xml:space="preserve">Media</w:t>
            </w:r>
          </w:p>
        </w:tc>
        <w:tc>
          <w:tcPr>
            <w:tcW w:type="dxa" w:w="5000"/>
            <w:shd w:fill="FFFFFF" w:val="clear"/>
            <w:tcMar>
              <w:top w:type="dxa" w:w="80"/>
              <w:left w:type="dxa" w:w="100"/>
              <w:bottom w:type="dxa" w:w="80"/>
              <w:right w:type="dxa" w:w="100"/>
            </w:tcMar>
          </w:tcPr>
          <w:p>
            <w:r>
              <w:t xml:space="preserve">Valutazione fiscale del trattamento delle commissioni EUR (ritenuta d'acconto, Enasarco, fatturazione agente)</w:t>
            </w:r>
          </w:p>
        </w:tc>
        <w:tc>
          <w:tcPr>
            <w:tcW w:type="dxa" w:w="2850"/>
            <w:shd w:fill="FFFFFF" w:val="clear"/>
            <w:tcMar>
              <w:top w:type="dxa" w:w="80"/>
              <w:left w:type="dxa" w:w="100"/>
              <w:bottom w:type="dxa" w:w="80"/>
              <w:right w:type="dxa" w:w="100"/>
            </w:tcMar>
          </w:tcPr>
          <w:p>
            <w:r>
              <w:t xml:space="preserve">Rischio non ancora modellato in nessuna analisi precedente</w:t>
            </w:r>
          </w:p>
        </w:tc>
      </w:tr>
    </w:tbl>
    <w:p>
      <w:r>
        <w:br w:type="page"/>
      </w:r>
    </w:p>
    <w:p>
      <w:pPr>
        <w:pStyle w:val="Heading1"/>
        <w:spacing w:after="200" w:before="400"/>
      </w:pPr>
      <w:r>
        <w:t xml:space="preserve">4. Focus dedicato: il sistema multilivello da ogni punto di vista</w:t>
      </w:r>
    </w:p>
    <w:p>
      <w:pPr>
        <w:spacing w:after="160" w:line="300"/>
      </w:pPr>
      <w:r>
        <w:t xml:space="preserve">Come richiesto, questa sezione mette insieme le tre prospettive precedenti specificamente sul multilivello, perché è la parte del sistema con più peso strategico e più rischio insieme.</w:t>
      </w:r>
    </w:p>
    <w:p>
      <w:pPr>
        <w:pStyle w:val="Heading2"/>
        <w:spacing w:after="150" w:before="300"/>
      </w:pPr>
      <w:r>
        <w:t xml:space="preserve">4.1 Punto di vista tecnico</w:t>
      </w:r>
    </w:p>
    <w:p>
      <w:pPr>
        <w:spacing w:after="160" w:line="300"/>
      </w:pPr>
      <w:r>
        <w:t xml:space="preserve">L'ingegneria del sotto-sistema MLM è sopra la media per un progetto di queste dimensioni: 9 servizi dedicati con responsabilità ben separate (albero e gerarchia, punti, ranghi, commissioni, bonus, payout, simulazione, referral), una closure table per navigare l'albero degli agenti in modo efficiente, un motore di requisiti di grado configurabile da amministrazione, un motore commissioni con run mensili tracciati e idempotenti, e una batteria di test tra le più estese di tutto il progetto. Il debito tecnico specifico è concentrato in due punti precisi e circoscritti (mancanza di lock su alcuni bonus una tantum, assenza di tetto sulle commissioni) — non è un problema di architettura, è un problema di due controlli mancanti, cosa che rende la correzione realistica in tempi brevi.</w:t>
      </w:r>
    </w:p>
    <w:p>
      <w:pPr>
        <w:pStyle w:val="Heading2"/>
        <w:spacing w:after="150" w:before="300"/>
      </w:pPr>
      <w:r>
        <w:t xml:space="preserve">4.2 Punto di vista project management</w:t>
      </w:r>
    </w:p>
    <w:p>
      <w:pPr>
        <w:spacing w:after="160" w:line="300"/>
      </w:pPr>
      <w:r>
        <w:t xml:space="preserve">Il MLM è, tra tutti i sotto-sistemi dell'app, quello che è cambiato più spesso e più rapidamente nelle ultime settimane: nuovi campi, nuove soglie, nuovi servizi (ReferralBonusService è di appena un giorno fa) si sono susseguiti quasi quotidianamente. Questo riflette un progetto vivo e reattivo alle esigenze di Laura, ma per un sistema che tocca soldi reali verso l'esterno e ha un'esposizione legale, la velocità va bilanciata con un congelamento temporaneo ("design freeze") una volta chiuse le correzioni critiche di sezione 3.3, seguito da un ciclo di validazione legale e un pilota controllato, prima di qualunque ulteriore evoluzione o apertura pubblica.</w:t>
      </w:r>
    </w:p>
    <w:p>
      <w:pPr>
        <w:pStyle w:val="Heading2"/>
        <w:spacing w:after="150" w:before="300"/>
      </w:pPr>
      <w:r>
        <w:t xml:space="preserve">4.3 Punto di vista di sostenibilità economica e legale</w:t>
      </w:r>
    </w:p>
    <w:p>
      <w:pPr>
        <w:spacing w:after="160" w:line="300"/>
      </w:pPr>
      <w:r>
        <w:t xml:space="preserve">Ricapitolando la sezione 3: la crescita della rete tramite registrazioni ha un valore reale per l'azienda, ed è corretto che nel periodo di lancio non venga frenata da soglie premature (scelta consapevole di Laura). Resta però un lavoro tecnico preciso da completare non appena la soglia di punti-da-ricarica verrà attivata: collegarla anche a BasiQ e Bonus Diretti KNM, oggi sganciati. Finché quel collegamento non c'è, l'esposizione alla normativa sulla vendita piramidale resta concreta per quei due meccanismi specifici, non per il programma nel suo complesso.</w:t>
      </w:r>
    </w:p>
    <w:p>
      <w:pPr>
        <w:pStyle w:val="Heading2"/>
        <w:spacing w:after="150" w:before="300"/>
      </w:pPr>
      <w:r>
        <w:t xml:space="preserve">4.4 Punto di vista imprenditoriale: perché vale comunque la pena investirci</w:t>
      </w:r>
    </w:p>
    <w:p>
      <w:pPr>
        <w:spacing w:after="160" w:line="300"/>
      </w:pPr>
      <w:r>
        <w:t xml:space="preserve">Una volta chiuso il gap di sostenibilità, il multilivello resta probabilmente lo strumento di crescita più efficiente a disposizione di KosmoPay, per un motivo semplice: trasforma ogni agente in un venditore motivato economicamente a portare nuove attività e nuovi clienti nel circuito, con un costo variabile (proporzionale ai risultati) invece che fisso (una forza vendita tradizionale stipendiata). La differenza tra un MLM rischioso e un MLM potente sta tutta nell'aggancio: se il guadagno dell'agente è agganciato a consumo reale verificato (ricariche, acquisti, canoni pagati dalle aziende), il sistema premia la crescita vera; se è agganciato solo a registrazioni, premia la crescita finta. Le correzioni proposte in sezione 3.3 non indeboliscono l'MLM: lo rendono l'argomento di vendita ("qui si guadagna solo se il circuito guadagna davvero") invece che il suo tallone d'Achille legale.</w:t>
      </w:r>
    </w:p>
    <w:p>
      <w:r>
        <w:br w:type="page"/>
      </w:r>
    </w:p>
    <w:p>
      <w:pPr>
        <w:pStyle w:val="Heading1"/>
        <w:spacing w:after="200" w:before="400"/>
      </w:pPr>
      <w:r>
        <w:t xml:space="preserve">5. Proposte imprenditoriali</w:t>
      </w:r>
    </w:p>
    <w:p>
      <w:pPr>
        <w:spacing w:after="160" w:line="300"/>
      </w:pPr>
      <w:r>
        <w:t xml:space="preserve">Le proposte che seguono partono dal presupposto che le correzioni di sostenibilità (sezione 3.3) vengano fatte per prime: costruire sopra un MLM ancora vulnerabile amplificherebbe il rischio invece di ridurlo. Sono divise in due gruppi: idee di crescita generali per la piattaforma, e idee specifiche per il multilivello, dove ho voluto essere più audace, come richiesto.</w:t>
      </w:r>
    </w:p>
    <w:p>
      <w:pPr>
        <w:pStyle w:val="Heading2"/>
        <w:spacing w:after="150" w:before="300"/>
      </w:pPr>
      <w:r>
        <w:t xml:space="preserve">5.1 Idee generali per la piattaforma</w:t>
      </w:r>
    </w:p>
    <w:p>
      <w:pPr>
        <w:pStyle w:val="ListParagraph"/>
        <w:numPr>
          <w:ilvl w:val="0"/>
          <w:numId w:val="1"/>
        </w:numPr>
        <w:spacing w:after="100" w:line="280"/>
      </w:pPr>
      <w:r>
        <w:t xml:space="preserve">Mappa pubblica delle attività convenzionate (già raccomandata in analisi precedenti, non ancora realizzata su scala pubblica): rende visibile la rete reale del circuito a chi non ne fa ancora parte, ed è un argomento di vendita concreto per nuove attività.</w:t>
      </w:r>
    </w:p>
    <w:p>
      <w:pPr>
        <w:pStyle w:val="ListParagraph"/>
        <w:numPr>
          <w:ilvl w:val="0"/>
          <w:numId w:val="1"/>
        </w:numPr>
        <w:spacing w:after="100" w:line="280"/>
      </w:pPr>
      <w:r>
        <w:t xml:space="preserve">Directory con matching domanda/offerta: non solo un elenco di attività, ma un motore che suggerisce ai clienti dove spendere i propri KY in base a categoria, posizione, disponibilità — trasforma la directory da elenco passivo a strumento che aumenta davvero la circolazione della moneta interna (il vero indicatore di salute di un circuito chiuso).</w:t>
      </w:r>
    </w:p>
    <w:p>
      <w:pPr>
        <w:pStyle w:val="ListParagraph"/>
        <w:numPr>
          <w:ilvl w:val="0"/>
          <w:numId w:val="1"/>
        </w:numPr>
        <w:spacing w:after="100" w:line="280"/>
      </w:pPr>
      <w:r>
        <w:t xml:space="preserve">Programma di missioni/gamification per i clienti finali (non per gli agenti): piccoli obiettivi ("prova 3 attività diverse questo mese") con ricompense modeste in KY, per aumentare la frequenza di utilizzo senza toccare la parte MLM.</w:t>
      </w:r>
    </w:p>
    <w:p>
      <w:pPr>
        <w:pStyle w:val="ListParagraph"/>
        <w:numPr>
          <w:ilvl w:val="0"/>
          <w:numId w:val="1"/>
        </w:numPr>
        <w:spacing w:after="100" w:line="280"/>
      </w:pPr>
      <w:r>
        <w:t xml:space="preserve">Vetrina personale per agente (già analizzata in un documento separato consegnato il 27/07): resta un'idea valida, ma da riattivare solo dopo aver chiuso i punti aperti in quell'analisi (consenso esplicito delle aziende alla rivendita, attribuzione cliente-agente non sovrascrivibile) e dopo le correzioni di sostenibilità di questo documento.</w:t>
      </w:r>
    </w:p>
    <w:p>
      <w:pPr>
        <w:pStyle w:val="Heading2"/>
        <w:spacing w:after="150" w:before="300"/>
      </w:pPr>
      <w:r>
        <w:t xml:space="preserve">5.2 Proposte audaci per il sistema multilivello</w:t>
      </w:r>
    </w:p>
    <w:p>
      <w:pPr>
        <w:spacing w:after="160" w:line="300"/>
      </w:pPr>
      <w:r>
        <w:t xml:space="preserve">Qui la logica è: rendere il guadagno dell'agente sempre più agganciato a valore reale, e allo stesso tempo rendere il programma un vantaggio competitivo dichiarato, non un rischio da nascondere.</w:t>
      </w:r>
    </w:p>
    <w:p>
      <w:pPr>
        <w:pStyle w:val="Heading3"/>
        <w:spacing w:after="120" w:before="240"/>
      </w:pPr>
      <w:r>
        <w:t xml:space="preserve">a) Bonus ibrido EUR/KY per ridurre il drenaggio di cassa reale</w:t>
      </w:r>
    </w:p>
    <w:p>
      <w:pPr>
        <w:spacing w:after="160" w:line="300"/>
      </w:pPr>
      <w:r>
        <w:t xml:space="preserve">Oggi tutte le commissioni e i bonus MLM sono liquidati in euro reali via bonifico. Un'alternativa più sostenibile per la cassa: erogare una quota (es. 30-50%) dei bonus di struttura settimanali e degli Extra Bonus in KY spendibili nel circuito, con un piccolo incentivo (es. +10% di valore) per chi accetta la quota in KY invece che in EUR. Effetto: meno pressione sulla cassa reale, più circolazione interna della moneta, agenti comunque liberi di scegliere se preferiscono liquidità.</w:t>
      </w:r>
    </w:p>
    <w:p>
      <w:pPr>
        <w:pStyle w:val="Heading3"/>
        <w:spacing w:after="120" w:before="240"/>
      </w:pPr>
      <w:r>
        <w:t xml:space="preserve">b) "Motore di trasparenza" come argomento di vendita e scudo legale insieme</w:t>
      </w:r>
    </w:p>
    <w:p>
      <w:pPr>
        <w:spacing w:after="160" w:line="300"/>
      </w:pPr>
      <w:r>
        <w:t xml:space="preserve">Costruire una dashboard pubblica (o riservata agli agenti) che mostra, in tempo reale, quanto delle commissioni pagate deriva da consumo reale verificato rispetto a semplice crescita della rete. Un MLM che può dimostrare — con dati, non promesse — che il 90%+ dei compensi deriva da transazioni reali è un MLM che si difende da solo davanti a un regolatore, e allo stesso tempo è un argomento di marketing potente ("il primo circuito multilivello in Italia trasparente per costruzione") per attrarre agenti seri e allontanare chi cerca solo di sfruttare il sistema.</w:t>
      </w:r>
    </w:p>
    <w:p>
      <w:pPr>
        <w:pStyle w:val="Heading3"/>
        <w:spacing w:after="120" w:before="240"/>
      </w:pPr>
      <w:r>
        <w:t xml:space="preserve">c) Fondo di garanzia alimentato da ricavi reali, non dal conto del singolo agente</w:t>
      </w:r>
    </w:p>
    <w:p>
      <w:pPr>
        <w:spacing w:after="160" w:line="300"/>
      </w:pPr>
      <w:r>
        <w:t xml:space="preserve">Oggi il rischio di un cliente segnalato fittizio ricade sul conto dell'agente incolpevole (sezione 3.2). Proposta: un fondo di garanzia centrale, alimentato da una piccola percentuale (es. 1-2%) del Prov K reale generato ogni mese, che assorbe le eventuali perdite da frode invece di scaricarle sul singolo agente. Questo rende il programma più attraente per gli agenti onesti (nessun rischio di ritrovarsi in negativo per colpa altrui) e centralizza il controllo del rischio dove deve stare: nell'azienda, non nella rete.</w:t>
      </w:r>
    </w:p>
    <w:p>
      <w:pPr>
        <w:pStyle w:val="Heading3"/>
        <w:spacing w:after="120" w:before="240"/>
      </w:pPr>
      <w:r>
        <w:t xml:space="preserve">d) Academy e certificazione a livelli, non solo classifica economica</w:t>
      </w:r>
    </w:p>
    <w:p>
      <w:pPr>
        <w:spacing w:after="160" w:line="300"/>
      </w:pPr>
      <w:r>
        <w:t xml:space="preserve">Affiancare al percorso di grado economico (punti, ricariche, struttura) un percorso formativo con certificazioni ("Agente Certificato KosmoPay", con moduli su compliance, vendita etica, uso della piattaforma). Un agente certificato costa meno in assistenza, genera meno rischi di comportamento scorretto, ed è un elemento di marketing ("i nostri agenti sono formati e certificati") che differenzia KosmoPay da un MLM generico.</w:t>
      </w:r>
    </w:p>
    <w:p>
      <w:pPr>
        <w:pStyle w:val="Heading3"/>
        <w:spacing w:after="120" w:before="240"/>
      </w:pPr>
      <w:r>
        <w:t xml:space="preserve">e) Classifiche e riconoscimenti non monetari</w:t>
      </w:r>
    </w:p>
    <w:p>
      <w:pPr>
        <w:spacing w:after="160" w:line="300"/>
      </w:pPr>
      <w:r>
        <w:t xml:space="preserve">Affiancare ai bonus in denaro classifiche stagionali pubbliche e premi non monetari (eventi, viaggi, badge digitali condivisibili sui social) per i migliori agenti per qualità (non solo quantità: es. "miglior tasso di clienti attivi", non "più clienti registrati"). Riduce la pressione sulla cassa reale e sposta l'incentivo verso comportamenti sani.</w:t>
      </w:r>
    </w:p>
    <w:p>
      <w:pPr>
        <w:pStyle w:val="Heading3"/>
        <w:spacing w:after="120" w:before="240"/>
      </w:pPr>
      <w:r>
        <w:t xml:space="preserve">f) Espansione controllata solo dopo il Minimum Viable Network</w:t>
      </w:r>
    </w:p>
    <w:p>
      <w:pPr>
        <w:spacing w:after="160" w:line="300"/>
      </w:pPr>
      <w:r>
        <w:t xml:space="preserve">Un'ambizione imprenditoriale legittima è espandere il circuito oltre il territorio attuale una volta raggiunta la massa critica di attività convenzionate (condizione già identificata in sezione 2.2). La raccomandazione è di legare esplicitamente ogni apertura geografica nuova al raggiungimento delle stesse soglie (MVN locale, α di riassorbimento verificato) invece che a una data calendario — così la crescita del multilivello resta sempre ancorata a domanda e offerta reali sul territorio, non solo a nuove iscrizioni.</w:t>
      </w:r>
    </w:p>
    <w:p>
      <w:pPr>
        <w:pStyle w:val="Heading2"/>
        <w:spacing w:after="150" w:before="300"/>
      </w:pPr>
      <w:r>
        <w:t xml:space="preserve">5.3 Valutazione sintetica delle proposte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2300"/>
        <w:gridCol w:w="2300"/>
      </w:tblGrid>
      <w:tr>
        <w:trPr>
          <w:tblHeader/>
        </w:trPr>
        <w:tc>
          <w:tcPr>
            <w:tcW w:type="dxa" w:w="2400"/>
            <w:shd w:fill="2E5C8A" w:val="clear"/>
            <w:tcMar>
              <w:top w:type="dxa" w:w="80"/>
              <w:left w:type="dxa" w:w="100"/>
              <w:bottom w:type="dxa" w:w="80"/>
              <w:right w:type="dxa" w:w="100"/>
            </w:tcMar>
          </w:tcPr>
          <w:p>
            <w:r>
              <w:rPr>
                <w:b/>
                <w:bCs/>
                <w:color w:val="FFFFFF"/>
              </w:rPr>
              <w:t xml:space="preserve">Proposta</w:t>
            </w:r>
          </w:p>
        </w:tc>
        <w:tc>
          <w:tcPr>
            <w:tcW w:type="dxa" w:w="2350"/>
            <w:shd w:fill="2E5C8A" w:val="clear"/>
            <w:tcMar>
              <w:top w:type="dxa" w:w="80"/>
              <w:left w:type="dxa" w:w="100"/>
              <w:bottom w:type="dxa" w:w="80"/>
              <w:right w:type="dxa" w:w="100"/>
            </w:tcMar>
          </w:tcPr>
          <w:p>
            <w:r>
              <w:rPr>
                <w:b/>
                <w:bCs/>
                <w:color w:val="FFFFFF"/>
              </w:rPr>
              <w:t xml:space="preserve">Fattibilità tecnica</w:t>
            </w:r>
          </w:p>
        </w:tc>
        <w:tc>
          <w:tcPr>
            <w:tcW w:type="dxa" w:w="2300"/>
            <w:shd w:fill="2E5C8A" w:val="clear"/>
            <w:tcMar>
              <w:top w:type="dxa" w:w="80"/>
              <w:left w:type="dxa" w:w="100"/>
              <w:bottom w:type="dxa" w:w="80"/>
              <w:right w:type="dxa" w:w="100"/>
            </w:tcMar>
          </w:tcPr>
          <w:p>
            <w:r>
              <w:rPr>
                <w:b/>
                <w:bCs/>
                <w:color w:val="FFFFFF"/>
              </w:rPr>
              <w:t xml:space="preserve">Sforzo di processo</w:t>
            </w:r>
          </w:p>
        </w:tc>
        <w:tc>
          <w:tcPr>
            <w:tcW w:type="dxa" w:w="2300"/>
            <w:shd w:fill="2E5C8A" w:val="clear"/>
            <w:tcMar>
              <w:top w:type="dxa" w:w="80"/>
              <w:left w:type="dxa" w:w="100"/>
              <w:bottom w:type="dxa" w:w="80"/>
              <w:right w:type="dxa" w:w="100"/>
            </w:tcMar>
          </w:tcPr>
          <w:p>
            <w:r>
              <w:rPr>
                <w:b/>
                <w:bCs/>
                <w:color w:val="FFFFFF"/>
              </w:rPr>
              <w:t xml:space="preserve">Impatto sulla sostenibilità</w:t>
            </w:r>
          </w:p>
        </w:tc>
      </w:tr>
      <w:tr>
        <w:tc>
          <w:tcPr>
            <w:tcW w:type="dxa" w:w="2400"/>
            <w:shd w:fill="FFFFFF" w:val="clear"/>
            <w:tcMar>
              <w:top w:type="dxa" w:w="80"/>
              <w:left w:type="dxa" w:w="100"/>
              <w:bottom w:type="dxa" w:w="80"/>
              <w:right w:type="dxa" w:w="100"/>
            </w:tcMar>
          </w:tcPr>
          <w:p>
            <w:r>
              <w:t xml:space="preserve">Bonus ibrido EUR/KY</w:t>
            </w:r>
          </w:p>
        </w:tc>
        <w:tc>
          <w:tcPr>
            <w:tcW w:type="dxa" w:w="2350"/>
            <w:shd w:fill="FFFFFF" w:val="clear"/>
            <w:tcMar>
              <w:top w:type="dxa" w:w="80"/>
              <w:left w:type="dxa" w:w="100"/>
              <w:bottom w:type="dxa" w:w="80"/>
              <w:right w:type="dxa" w:w="100"/>
            </w:tcMar>
          </w:tcPr>
          <w:p>
            <w:r>
              <w:t xml:space="preserve">Media — richiede nuova logica di split in MlmPayoutService</w:t>
            </w:r>
          </w:p>
        </w:tc>
        <w:tc>
          <w:tcPr>
            <w:tcW w:type="dxa" w:w="2300"/>
            <w:shd w:fill="FFFFFF" w:val="clear"/>
            <w:tcMar>
              <w:top w:type="dxa" w:w="80"/>
              <w:left w:type="dxa" w:w="100"/>
              <w:bottom w:type="dxa" w:w="80"/>
              <w:right w:type="dxa" w:w="100"/>
            </w:tcMar>
          </w:tcPr>
          <w:p>
            <w:r>
              <w:t xml:space="preserve">Basso — decisione di prodotto, non normativa</w:t>
            </w:r>
          </w:p>
        </w:tc>
        <w:tc>
          <w:tcPr>
            <w:tcW w:type="dxa" w:w="2300"/>
            <w:shd w:fill="FFFFFF" w:val="clear"/>
            <w:tcMar>
              <w:top w:type="dxa" w:w="80"/>
              <w:left w:type="dxa" w:w="100"/>
              <w:bottom w:type="dxa" w:w="80"/>
              <w:right w:type="dxa" w:w="100"/>
            </w:tcMar>
          </w:tcPr>
          <w:p>
            <w:r>
              <w:t xml:space="preserve">Alto — riduce drenaggio cassa reale</w:t>
            </w:r>
          </w:p>
        </w:tc>
      </w:tr>
      <w:tr>
        <w:tc>
          <w:tcPr>
            <w:tcW w:type="dxa" w:w="2400"/>
            <w:shd w:fill="F5F8FB" w:val="clear"/>
            <w:tcMar>
              <w:top w:type="dxa" w:w="80"/>
              <w:left w:type="dxa" w:w="100"/>
              <w:bottom w:type="dxa" w:w="80"/>
              <w:right w:type="dxa" w:w="100"/>
            </w:tcMar>
          </w:tcPr>
          <w:p>
            <w:r>
              <w:t xml:space="preserve">Dashboard di trasparenza</w:t>
            </w:r>
          </w:p>
        </w:tc>
        <w:tc>
          <w:tcPr>
            <w:tcW w:type="dxa" w:w="2350"/>
            <w:shd w:fill="F5F8FB" w:val="clear"/>
            <w:tcMar>
              <w:top w:type="dxa" w:w="80"/>
              <w:left w:type="dxa" w:w="100"/>
              <w:bottom w:type="dxa" w:w="80"/>
              <w:right w:type="dxa" w:w="100"/>
            </w:tcMar>
          </w:tcPr>
          <w:p>
            <w:r>
              <w:t xml:space="preserve">Media — dati già presenti nei ledger, serve solo aggregazione</w:t>
            </w:r>
          </w:p>
        </w:tc>
        <w:tc>
          <w:tcPr>
            <w:tcW w:type="dxa" w:w="2300"/>
            <w:shd w:fill="F5F8FB" w:val="clear"/>
            <w:tcMar>
              <w:top w:type="dxa" w:w="80"/>
              <w:left w:type="dxa" w:w="100"/>
              <w:bottom w:type="dxa" w:w="80"/>
              <w:right w:type="dxa" w:w="100"/>
            </w:tcMar>
          </w:tcPr>
          <w:p>
            <w:r>
              <w:t xml:space="preserve">Basso</w:t>
            </w:r>
          </w:p>
        </w:tc>
        <w:tc>
          <w:tcPr>
            <w:tcW w:type="dxa" w:w="2300"/>
            <w:shd w:fill="F5F8FB" w:val="clear"/>
            <w:tcMar>
              <w:top w:type="dxa" w:w="80"/>
              <w:left w:type="dxa" w:w="100"/>
              <w:bottom w:type="dxa" w:w="80"/>
              <w:right w:type="dxa" w:w="100"/>
            </w:tcMar>
          </w:tcPr>
          <w:p>
            <w:r>
              <w:t xml:space="preserve">Alto — riduce rischio legale percepito e reale</w:t>
            </w:r>
          </w:p>
        </w:tc>
      </w:tr>
      <w:tr>
        <w:tc>
          <w:tcPr>
            <w:tcW w:type="dxa" w:w="2400"/>
            <w:shd w:fill="FFFFFF" w:val="clear"/>
            <w:tcMar>
              <w:top w:type="dxa" w:w="80"/>
              <w:left w:type="dxa" w:w="100"/>
              <w:bottom w:type="dxa" w:w="80"/>
              <w:right w:type="dxa" w:w="100"/>
            </w:tcMar>
          </w:tcPr>
          <w:p>
            <w:r>
              <w:t xml:space="preserve">Fondo di garanzia frodi</w:t>
            </w:r>
          </w:p>
        </w:tc>
        <w:tc>
          <w:tcPr>
            <w:tcW w:type="dxa" w:w="2350"/>
            <w:shd w:fill="FFFFFF" w:val="clear"/>
            <w:tcMar>
              <w:top w:type="dxa" w:w="80"/>
              <w:left w:type="dxa" w:w="100"/>
              <w:bottom w:type="dxa" w:w="80"/>
              <w:right w:type="dxa" w:w="100"/>
            </w:tcMar>
          </w:tcPr>
          <w:p>
            <w:r>
              <w:t xml:space="preserve">Bassa/Media — nuovo conto e regole di accantonamento</w:t>
            </w:r>
          </w:p>
        </w:tc>
        <w:tc>
          <w:tcPr>
            <w:tcW w:type="dxa" w:w="2300"/>
            <w:shd w:fill="FFFFFF" w:val="clear"/>
            <w:tcMar>
              <w:top w:type="dxa" w:w="80"/>
              <w:left w:type="dxa" w:w="100"/>
              <w:bottom w:type="dxa" w:w="80"/>
              <w:right w:type="dxa" w:w="100"/>
            </w:tcMar>
          </w:tcPr>
          <w:p>
            <w:r>
              <w:t xml:space="preserve">Medio — richiede decisione su percentuale e governance</w:t>
            </w:r>
          </w:p>
        </w:tc>
        <w:tc>
          <w:tcPr>
            <w:tcW w:type="dxa" w:w="2300"/>
            <w:shd w:fill="FFFFFF" w:val="clear"/>
            <w:tcMar>
              <w:top w:type="dxa" w:w="80"/>
              <w:left w:type="dxa" w:w="100"/>
              <w:bottom w:type="dxa" w:w="80"/>
              <w:right w:type="dxa" w:w="100"/>
            </w:tcMar>
          </w:tcPr>
          <w:p>
            <w:r>
              <w:t xml:space="preserve">Alto — protegge agenti onesti e cassa aziendale</w:t>
            </w:r>
          </w:p>
        </w:tc>
      </w:tr>
      <w:tr>
        <w:tc>
          <w:tcPr>
            <w:tcW w:type="dxa" w:w="2400"/>
            <w:shd w:fill="F5F8FB" w:val="clear"/>
            <w:tcMar>
              <w:top w:type="dxa" w:w="80"/>
              <w:left w:type="dxa" w:w="100"/>
              <w:bottom w:type="dxa" w:w="80"/>
              <w:right w:type="dxa" w:w="100"/>
            </w:tcMar>
          </w:tcPr>
          <w:p>
            <w:r>
              <w:t xml:space="preserve">Academy/certificazione</w:t>
            </w:r>
          </w:p>
        </w:tc>
        <w:tc>
          <w:tcPr>
            <w:tcW w:type="dxa" w:w="2350"/>
            <w:shd w:fill="F5F8FB" w:val="clear"/>
            <w:tcMar>
              <w:top w:type="dxa" w:w="80"/>
              <w:left w:type="dxa" w:w="100"/>
              <w:bottom w:type="dxa" w:w="80"/>
              <w:right w:type="dxa" w:w="100"/>
            </w:tcMar>
          </w:tcPr>
          <w:p>
            <w:r>
              <w:t xml:space="preserve">Bassa — è contenuto formativo, non codice</w:t>
            </w:r>
          </w:p>
        </w:tc>
        <w:tc>
          <w:tcPr>
            <w:tcW w:type="dxa" w:w="2300"/>
            <w:shd w:fill="F5F8FB" w:val="clear"/>
            <w:tcMar>
              <w:top w:type="dxa" w:w="80"/>
              <w:left w:type="dxa" w:w="100"/>
              <w:bottom w:type="dxa" w:w="80"/>
              <w:right w:type="dxa" w:w="100"/>
            </w:tcMar>
          </w:tcPr>
          <w:p>
            <w:r>
              <w:t xml:space="preserve">Medio — richiede materiale e processo di erogazione</w:t>
            </w:r>
          </w:p>
        </w:tc>
        <w:tc>
          <w:tcPr>
            <w:tcW w:type="dxa" w:w="2300"/>
            <w:shd w:fill="F5F8FB" w:val="clear"/>
            <w:tcMar>
              <w:top w:type="dxa" w:w="80"/>
              <w:left w:type="dxa" w:w="100"/>
              <w:bottom w:type="dxa" w:w="80"/>
              <w:right w:type="dxa" w:w="100"/>
            </w:tcMar>
          </w:tcPr>
          <w:p>
            <w:r>
              <w:t xml:space="preserve">Medio — effetto indiretto su qualità della rete</w:t>
            </w:r>
          </w:p>
        </w:tc>
      </w:tr>
      <w:tr>
        <w:tc>
          <w:tcPr>
            <w:tcW w:type="dxa" w:w="2400"/>
            <w:shd w:fill="FFFFFF" w:val="clear"/>
            <w:tcMar>
              <w:top w:type="dxa" w:w="80"/>
              <w:left w:type="dxa" w:w="100"/>
              <w:bottom w:type="dxa" w:w="80"/>
              <w:right w:type="dxa" w:w="100"/>
            </w:tcMar>
          </w:tcPr>
          <w:p>
            <w:r>
              <w:t xml:space="preserve">Classifiche non monetarie</w:t>
            </w:r>
          </w:p>
        </w:tc>
        <w:tc>
          <w:tcPr>
            <w:tcW w:type="dxa" w:w="2350"/>
            <w:shd w:fill="FFFFFF" w:val="clear"/>
            <w:tcMar>
              <w:top w:type="dxa" w:w="80"/>
              <w:left w:type="dxa" w:w="100"/>
              <w:bottom w:type="dxa" w:w="80"/>
              <w:right w:type="dxa" w:w="100"/>
            </w:tcMar>
          </w:tcPr>
          <w:p>
            <w:r>
              <w:t xml:space="preserve">Bassa — soprattutto UI/comunicazione</w:t>
            </w:r>
          </w:p>
        </w:tc>
        <w:tc>
          <w:tcPr>
            <w:tcW w:type="dxa" w:w="2300"/>
            <w:shd w:fill="FFFFFF" w:val="clear"/>
            <w:tcMar>
              <w:top w:type="dxa" w:w="80"/>
              <w:left w:type="dxa" w:w="100"/>
              <w:bottom w:type="dxa" w:w="80"/>
              <w:right w:type="dxa" w:w="100"/>
            </w:tcMar>
          </w:tcPr>
          <w:p>
            <w:r>
              <w:t xml:space="preserve">Basso</w:t>
            </w:r>
          </w:p>
        </w:tc>
        <w:tc>
          <w:tcPr>
            <w:tcW w:type="dxa" w:w="2300"/>
            <w:shd w:fill="FFFFFF" w:val="clear"/>
            <w:tcMar>
              <w:top w:type="dxa" w:w="80"/>
              <w:left w:type="dxa" w:w="100"/>
              <w:bottom w:type="dxa" w:w="80"/>
              <w:right w:type="dxa" w:w="100"/>
            </w:tcMar>
          </w:tcPr>
          <w:p>
            <w:r>
              <w:t xml:space="preserve">Medio — riduce pressione su cassa reale</w:t>
            </w:r>
          </w:p>
        </w:tc>
      </w:tr>
      <w:tr>
        <w:tc>
          <w:tcPr>
            <w:tcW w:type="dxa" w:w="2400"/>
            <w:shd w:fill="F5F8FB" w:val="clear"/>
            <w:tcMar>
              <w:top w:type="dxa" w:w="80"/>
              <w:left w:type="dxa" w:w="100"/>
              <w:bottom w:type="dxa" w:w="80"/>
              <w:right w:type="dxa" w:w="100"/>
            </w:tcMar>
          </w:tcPr>
          <w:p>
            <w:r>
              <w:t xml:space="preserve">Espansione geografica legata a MVN</w:t>
            </w:r>
          </w:p>
        </w:tc>
        <w:tc>
          <w:tcPr>
            <w:tcW w:type="dxa" w:w="2350"/>
            <w:shd w:fill="F5F8FB" w:val="clear"/>
            <w:tcMar>
              <w:top w:type="dxa" w:w="80"/>
              <w:left w:type="dxa" w:w="100"/>
              <w:bottom w:type="dxa" w:w="80"/>
              <w:right w:type="dxa" w:w="100"/>
            </w:tcMar>
          </w:tcPr>
          <w:p>
            <w:r>
              <w:t xml:space="preserve">N/A — è una regola di governance</w:t>
            </w:r>
          </w:p>
        </w:tc>
        <w:tc>
          <w:tcPr>
            <w:tcW w:type="dxa" w:w="2300"/>
            <w:shd w:fill="F5F8FB" w:val="clear"/>
            <w:tcMar>
              <w:top w:type="dxa" w:w="80"/>
              <w:left w:type="dxa" w:w="100"/>
              <w:bottom w:type="dxa" w:w="80"/>
              <w:right w:type="dxa" w:w="100"/>
            </w:tcMar>
          </w:tcPr>
          <w:p>
            <w:r>
              <w:t xml:space="preserve">Alto — richiede disciplina nel tempo</w:t>
            </w:r>
          </w:p>
        </w:tc>
        <w:tc>
          <w:tcPr>
            <w:tcW w:type="dxa" w:w="2300"/>
            <w:shd w:fill="F5F8FB" w:val="clear"/>
            <w:tcMar>
              <w:top w:type="dxa" w:w="80"/>
              <w:left w:type="dxa" w:w="100"/>
              <w:bottom w:type="dxa" w:w="80"/>
              <w:right w:type="dxa" w:w="100"/>
            </w:tcMar>
          </w:tcPr>
          <w:p>
            <w:r>
              <w:t xml:space="preserve">Alto — evita di replicare il problema su nuovi territori</w:t>
            </w:r>
          </w:p>
        </w:tc>
      </w:tr>
    </w:tbl>
    <w:p>
      <w:r>
        <w:br w:type="page"/>
      </w:r>
    </w:p>
    <w:p>
      <w:pPr>
        <w:pStyle w:val="Heading1"/>
        <w:spacing w:after="200" w:before="400"/>
      </w:pPr>
      <w:r>
        <w:t xml:space="preserve">6. Piano d'azione prioritizzato</w:t>
      </w:r>
    </w:p>
    <w:p>
      <w:pPr>
        <w:spacing w:after="160" w:line="300"/>
      </w:pPr>
      <w:r>
        <w:t xml:space="preserve">Una sintesi operativa di tutto il documento, ordinata per urgenza reale, non per sezione di provenienza.</w:t>
      </w:r>
    </w:p>
    <w:p>
      <w:pPr>
        <w:pStyle w:val="Heading2"/>
        <w:spacing w:after="150" w:before="300"/>
      </w:pPr>
      <w:r>
        <w:t xml:space="preserve">P0 — Bloccanti prima di qualunque apertura pubblica del programma MLM</w:t>
      </w:r>
    </w:p>
    <w:p>
      <w:pPr>
        <w:pStyle w:val="ListParagraph"/>
        <w:numPr>
          <w:ilvl w:val="0"/>
          <w:numId w:val="1"/>
        </w:numPr>
        <w:spacing w:after="100" w:line="280"/>
      </w:pPr>
      <w:r>
        <w:t xml:space="preserve">Nel momento in cui si attiva min_deposit_points (piano già previsto per il periodo post-lancio), collegare esplicitamente anche BasiQ e Bonus Diretti KNM alla stessa soglia — oggi sono un meccanismo separato che la soglia non toccherebbe.</w:t>
      </w:r>
    </w:p>
    <w:p>
      <w:pPr>
        <w:pStyle w:val="ListParagraph"/>
        <w:numPr>
          <w:ilvl w:val="0"/>
          <w:numId w:val="1"/>
        </w:numPr>
        <w:spacing w:after="100" w:line="280"/>
      </w:pPr>
      <w:r>
        <w:t xml:space="preserve">Aggiungere protezioni anti-frode a ReferralBonusService (limite segnalazioni, verifica identità prima dell'erogazione) — fronte distinto, non coperto dal piano min_deposit_points.</w:t>
      </w:r>
    </w:p>
    <w:p>
      <w:pPr>
        <w:pStyle w:val="ListParagraph"/>
        <w:numPr>
          <w:ilvl w:val="0"/>
          <w:numId w:val="1"/>
        </w:numPr>
        <w:spacing w:after="100" w:line="280"/>
      </w:pPr>
      <w:r>
        <w:t xml:space="preserve">Parere legale formale su L.173/2005 e sulla qualificazione di KY.</w:t>
      </w:r>
    </w:p>
    <w:p>
      <w:pPr>
        <w:pStyle w:val="ListParagraph"/>
        <w:numPr>
          <w:ilvl w:val="0"/>
          <w:numId w:val="1"/>
        </w:numPr>
        <w:spacing w:after="100" w:line="280"/>
      </w:pPr>
      <w:r>
        <w:t xml:space="preserve">Allineare l'entità giuridica in tutti i documenti pubblici e contrattuali.</w:t>
      </w:r>
    </w:p>
    <w:p>
      <w:pPr>
        <w:pStyle w:val="Heading2"/>
        <w:spacing w:after="150" w:before="300"/>
      </w:pPr>
      <w:r>
        <w:t xml:space="preserve">P1 — Alta priorità, entro il pilota controllato</w:t>
      </w:r>
    </w:p>
    <w:p>
      <w:pPr>
        <w:pStyle w:val="ListParagraph"/>
        <w:numPr>
          <w:ilvl w:val="0"/>
          <w:numId w:val="1"/>
        </w:numPr>
        <w:spacing w:after="100" w:line="280"/>
      </w:pPr>
      <w:r>
        <w:t xml:space="preserve">Tetto assoluto sulle commissioni MLM rispetto al Prov K.</w:t>
      </w:r>
    </w:p>
    <w:p>
      <w:pPr>
        <w:pStyle w:val="ListParagraph"/>
        <w:numPr>
          <w:ilvl w:val="0"/>
          <w:numId w:val="1"/>
        </w:numPr>
        <w:spacing w:after="100" w:line="280"/>
      </w:pPr>
      <w:r>
        <w:t xml:space="preserve">Fondo di riserva/garanzia esplicito con soglie di blocco automatico dei payout.</w:t>
      </w:r>
    </w:p>
    <w:p>
      <w:pPr>
        <w:pStyle w:val="ListParagraph"/>
        <w:numPr>
          <w:ilvl w:val="0"/>
          <w:numId w:val="1"/>
        </w:numPr>
        <w:spacing w:after="100" w:line="280"/>
      </w:pPr>
      <w:r>
        <w:t xml:space="preserve">Lock/gestione eccezione espliciti nei bonus una tantum di MlmAwardService.</w:t>
      </w:r>
    </w:p>
    <w:p>
      <w:pPr>
        <w:pStyle w:val="ListParagraph"/>
        <w:numPr>
          <w:ilvl w:val="0"/>
          <w:numId w:val="1"/>
        </w:numPr>
        <w:spacing w:after="100" w:line="280"/>
      </w:pPr>
      <w:r>
        <w:t xml:space="preserve">Backup automatico MySQL di produzione, CSP nonce-based.</w:t>
      </w:r>
    </w:p>
    <w:p>
      <w:pPr>
        <w:pStyle w:val="ListParagraph"/>
        <w:numPr>
          <w:ilvl w:val="0"/>
          <w:numId w:val="1"/>
        </w:numPr>
        <w:spacing w:after="100" w:line="280"/>
      </w:pPr>
      <w:r>
        <w:t xml:space="preserve">Dashboard di metriche operative attiva dal primo giorno del pilota.</w:t>
      </w:r>
    </w:p>
    <w:p>
      <w:pPr>
        <w:pStyle w:val="Heading2"/>
        <w:spacing w:after="150" w:before="300"/>
      </w:pPr>
      <w:r>
        <w:t xml:space="preserve">P2 — Importante, ma non bloccante per il pilota</w:t>
      </w:r>
    </w:p>
    <w:p>
      <w:pPr>
        <w:pStyle w:val="ListParagraph"/>
        <w:numPr>
          <w:ilvl w:val="0"/>
          <w:numId w:val="1"/>
        </w:numPr>
        <w:spacing w:after="100" w:line="280"/>
      </w:pPr>
      <w:r>
        <w:t xml:space="preserve">Split dei controller monolitici, introduzione di Policy Laravel centralizzate.</w:t>
      </w:r>
    </w:p>
    <w:p>
      <w:pPr>
        <w:pStyle w:val="ListParagraph"/>
        <w:numPr>
          <w:ilvl w:val="0"/>
          <w:numId w:val="1"/>
        </w:numPr>
        <w:spacing w:after="100" w:line="280"/>
      </w:pPr>
      <w:r>
        <w:t xml:space="preserve">Valutazione fiscale del trattamento delle commissioni EUR agli agenti.</w:t>
      </w:r>
    </w:p>
    <w:p>
      <w:pPr>
        <w:pStyle w:val="ListParagraph"/>
        <w:numPr>
          <w:ilvl w:val="0"/>
          <w:numId w:val="1"/>
        </w:numPr>
        <w:spacing w:after="100" w:line="280"/>
      </w:pPr>
      <w:r>
        <w:t xml:space="preserve">Proposte di crescita generali (mappa pubblica, directory con matching, gamification clienti).</w:t>
      </w:r>
    </w:p>
    <w:p>
      <w:pPr>
        <w:pStyle w:val="Heading2"/>
        <w:spacing w:after="150" w:before="300"/>
      </w:pPr>
      <w:r>
        <w:t xml:space="preserve">P3 — Visione a medio termine</w:t>
      </w:r>
    </w:p>
    <w:p>
      <w:pPr>
        <w:pStyle w:val="ListParagraph"/>
        <w:numPr>
          <w:ilvl w:val="0"/>
          <w:numId w:val="1"/>
        </w:numPr>
        <w:spacing w:after="100" w:line="280"/>
      </w:pPr>
      <w:r>
        <w:t xml:space="preserve">Bonus ibrido EUR/KY, Academy/certificazione agenti, classifiche non monetarie, espansione geografica legata al MVN.</w:t>
      </w:r>
    </w:p>
    <w:p>
      <w:r>
        <w:br w:type="page"/>
      </w:r>
    </w:p>
    <w:p>
      <w:pPr>
        <w:pStyle w:val="Heading1"/>
        <w:spacing w:after="200" w:before="400"/>
      </w:pPr>
      <w:r>
        <w:t xml:space="preserve">Conclusione</w:t>
      </w:r>
    </w:p>
    <w:p>
      <w:pPr>
        <w:spacing w:after="160" w:line="300"/>
      </w:pPr>
      <w:r>
        <w:t xml:space="preserve">KosmoPay ha una base tecnica di qualità superiore alla media dei progetti di queste dimensioni, e questo è merito di un lavoro di sviluppo costante e disciplinato. La parte che richiede attenzione immediata non è "quanto è pronto il codice", ma "quanto è pronto il modello economico del multilivello a reggere il confronto con la realtà e con la normativa". La buona notizia, di nuovo: il codice è già predisposto per accogliere le correzioni necessarie — mancano soglie da attivare, un paio di controlli da aggiungere, e una decisione di governance da prendere e mantenere (niente apertura pubblica del programma finché quei controlli non sono attivi e verificati). Fatto questo, il multilivello smette di essere il rischio più grande del progetto e diventa, come merita di essere, il suo motore di crescita più potente.</w:t>
      </w:r>
    </w:p>
    <w:p>
      <w:pPr>
        <w:spacing w:after="200"/>
      </w:pPr>
    </w:p>
    <w:p>
      <w:pPr>
        <w:spacing w:after="160" w:line="300"/>
      </w:pPr>
      <w:r>
        <w:rPr>
          <w:i/>
          <w:iCs/>
          <w:color w:val="777777"/>
          <w:sz w:val="20"/>
          <w:szCs w:val="20"/>
        </w:rPr>
        <w:t xml:space="preserve">Documento preparato da Claude, basato sull'analisi dei documenti di progetto esistenti e sulla verifica diretta del codice sorgente aggiornato al 28 luglio 2026. Dove un'affermazione tecnica è precisa (nomi di file, metodi, soglie), deriva da lettura diretta del codice; dove riprende conclusioni di analisi precedenti, è indicato esplicitamente nel testo.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2026-07-28T10:27:08.288Z</dcterms:created>
  <dcterms:modified xsi:type="dcterms:W3CDTF">2026-07-28T10:27:08.288Z</dcterms:modified>
</cp:coreProperties>
</file>

<file path=docProps/custom.xml><?xml version="1.0" encoding="utf-8"?>
<Properties xmlns="http://schemas.openxmlformats.org/officeDocument/2006/custom-properties" xmlns:vt="http://schemas.openxmlformats.org/officeDocument/2006/docPropsVTypes"/>
</file>