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left"/>
      </w:pPr>
      <w:r>
        <w:rPr>
          <w:b/>
          <w:bCs/>
          <w:color w:val="1F3864"/>
          <w:sz w:val="56"/>
          <w:szCs w:val="56"/>
        </w:rPr>
        <w:t xml:space="preserve">Analisi tecnica senior</w:t>
      </w:r>
    </w:p>
    <w:p>
      <w:pPr>
        <w:spacing w:after="60"/>
      </w:pPr>
      <w:r>
        <w:rPr>
          <w:color w:val="2E75B6"/>
          <w:sz w:val="30"/>
          <w:szCs w:val="30"/>
        </w:rPr>
        <w:t xml:space="preserve">kmoney-app — circuito monetario locale (KY)</w:t>
      </w:r>
    </w:p>
    <w:p>
      <w:pPr>
        <w:spacing w:after="600"/>
      </w:pPr>
      <w:r>
        <w:rPr>
          <w:i/>
          <w:iCs/>
          <w:color w:val="595959"/>
          <w:sz w:val="20"/>
          <w:szCs w:val="20"/>
        </w:rPr>
        <w:t xml:space="preserve">Laravel 12 · PHP 8.2 · ~32.600 LOC · 75 controller · 43 model · 9 service · 95 migration · 183 view</w:t>
      </w:r>
    </w:p>
    <w:p>
      <w:pPr>
        <w:pBdr>
          <w:bottom w:val="single" w:color="2E75B6" w:sz="6" w:space="4"/>
        </w:pBdr>
        <w:spacing w:after="120"/>
      </w:pPr>
      <w:r>
        <w:rPr>
          <w:color w:val="595959"/>
          <w:sz w:val="20"/>
          <w:szCs w:val="20"/>
        </w:rPr>
        <w:t xml:space="preserve">Data: 23 giugno 2026</w:t>
      </w:r>
      <w:r>
        <w:rPr>
          <w:color w:val="595959"/>
          <w:sz w:val="20"/>
          <w:szCs w:val="20"/>
        </w:rPr>
        <w:t xml:space="preserve">    ·    Valutazione: qualità sopra la media, prodotto completo</w:t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Documento generato da analisi diretta del codice sorgente. La suite di test non è stata eseguita (ambiente sandbox privo di PHP): verificare con “composer run test” in locale prima del deploy.</w:t>
      </w:r>
    </w:p>
    <w:p>
      <w:sdt>
        <w:sdtPr>
          <w:alias w:val="Indice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pPr>
        <w:pageBreakBefore/>
      </w:pPr>
    </w:p>
    <w:p>
      <w:pPr>
        <w:pStyle w:val="Heading1"/>
      </w:pPr>
      <w:r>
        <w:t xml:space="preserve">1. Quadro generale</w:t>
      </w:r>
    </w:p>
    <w:p>
      <w:pPr>
        <w:spacing w:after="120" w:line="276"/>
      </w:pPr>
      <w:r>
        <w:t xml:space="preserve">kmoney-app è una piattaforma di circuito monetario chiuso in stile Sardex, costruita su Laravel 12. La valuta interna (KY) è gestita interamente in centesimi interi, con regola di emissione vincolata al solo conto di sistema e invariante di circuito chiuso (somma di tutti i saldi = 0).</w:t>
      </w:r>
    </w:p>
    <w:p>
      <w:pPr>
        <w:spacing w:after="120" w:line="276"/>
      </w:pPr>
      <w:r>
        <w:t xml:space="preserve">Il codebase è maturo e mostra un hardening attivo e recente: i commit più recenti chiudono privilege-escalation sul backoffice, introducono FormRequest a lotti e splittano controller monolitici. Per la dimensione e il dominio (finanziario), la qualità complessiva è sopra la media: si riconosce padronanza sia del pattern Laravel sia delle esigenze di un sistema bancario.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Linee di codice (app/)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~32.600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Eloquent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di business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Blade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(feature / unit)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 /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1"/>
      </w:pPr>
      <w:r>
        <w:t xml:space="preserve">2. Funzionalità attuali</w:t>
      </w:r>
    </w:p>
    <w:p>
      <w:pPr>
        <w:spacing w:after="120" w:line="276"/>
      </w:pPr>
      <w:r>
        <w:t xml:space="preserve">Il sistema copre l'intero ciclo di un circuito di credito commerciale. Non è un MVP: è un prodotto completo.</w:t>
      </w:r>
    </w:p>
    <w:p>
      <w:pPr>
        <w:pStyle w:val="Heading2"/>
      </w:pPr>
      <w:r>
        <w:t xml:space="preserve">Pagamenti e movimenti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Pagamenti immediati e richieste con conferma tramite QR, NFC, Sonic, codice e W3C Payment Request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Rimborsi merchant e note di credito (libere o legate a un movimento originale).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Piani rateali, netting/compensazione crediti incrociati, pagamenti programmati.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Cashback automatico (mai soggetto a commissione) e commissioni di transazione.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Fido/scoperto (CreditLimit), sottoconti con gestori delegati, carte NFC fisiche e KY Card via Stripe.</w:t>
      </w:r>
    </w:p>
    <w:p>
      <w:pPr>
        <w:pStyle w:val="Heading2"/>
      </w:pPr>
      <w:r>
        <w:t xml:space="preserve">Sicurezza account e identità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WebAuthn/passkey, 2FA TOTP, onboarding KYC, firma contratto via OTP, step-up authentication per azioni sensibili.</w:t>
      </w:r>
    </w:p>
    <w:p>
      <w:pPr>
        <w:pStyle w:val="Heading2"/>
      </w:pPr>
      <w:r>
        <w:t xml:space="preserve">Integrazioni e operatività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token custom con permessi (read/write), webhook con delivery tracciate, web push (VAPID), statement mensili, audit log immutabile, health check.</w:t>
      </w:r>
    </w:p>
    <w:p>
      <w:pPr>
        <w:pStyle w:val="Heading1"/>
      </w:pPr>
      <w:r>
        <w:t xml:space="preserve">3. Punti di forza (da preservare)</w:t>
      </w:r>
    </w:p>
    <w:p>
      <w:pPr>
        <w:spacing w:after="120" w:line="276"/>
      </w:pPr>
      <w:r>
        <w:t xml:space="preserve">Motore finanziario (</w:t>
      </w:r>
      <w:r>
        <w:rPr>
          <w:b/>
          <w:bCs/>
        </w:rPr>
        <w:t xml:space="preserve">TransferBookingService</w:t>
      </w:r>
      <w:r>
        <w:t xml:space="preserve">). </w:t>
      </w:r>
      <w:r>
        <w:t xml:space="preserve">Ogni movimento gira dentro una transazione DB con lock pessimistico (lockForUpdate) su entrambi gli account, idempotency key obbligatoria con short-circuit sul duplicato, partita doppia (LedgerEntry), controllo currency_code su ogni percorso, e aggiornamento saldi via forceFill()+save() per rispettare i lock.</w:t>
      </w:r>
    </w:p>
    <w:p>
      <w:pPr>
        <w:spacing w:after="120" w:line="276"/>
      </w:pPr>
      <w:r>
        <w:rPr>
          <w:b/>
          <w:bCs/>
        </w:rPr>
        <w:t xml:space="preserve">Anti-frode applicativo. </w:t>
      </w:r>
      <w:r>
        <w:t xml:space="preserve">Blocco temporaneo automatico del conto dopo 3 tentativi falliti in 5 minuti, con audit log dedicato.</w:t>
      </w:r>
    </w:p>
    <w:p>
      <w:pPr>
        <w:spacing w:after="120" w:line="276"/>
      </w:pPr>
      <w:r>
        <w:rPr>
          <w:b/>
          <w:bCs/>
        </w:rPr>
        <w:t xml:space="preserve">Rate limiting granulare. </w:t>
      </w:r>
      <w:r>
        <w:t xml:space="preserve">Throttle dedicati per dominio sulle route denaro (payments, financial_ops, incasso), non solo il limite generico. Login e OTP protetti.</w:t>
      </w:r>
    </w:p>
    <w:p>
      <w:pPr>
        <w:spacing w:after="120" w:line="276"/>
      </w:pPr>
      <w:r>
        <w:rPr>
          <w:b/>
          <w:bCs/>
        </w:rPr>
        <w:t xml:space="preserve">Header di sicurezza. </w:t>
      </w:r>
      <w:r>
        <w:t xml:space="preserve">CSP, HSTS (1 anno, preload), Permissions-Policy, Referrer-Policy applicati globalmente via middleware.</w:t>
      </w:r>
    </w:p>
    <w:p>
      <w:pPr>
        <w:spacing w:after="120" w:line="276"/>
      </w:pPr>
      <w:r>
        <w:rPr>
          <w:b/>
          <w:bCs/>
        </w:rPr>
        <w:t xml:space="preserve">Igiene del codice. </w:t>
      </w:r>
      <w:r>
        <w:t xml:space="preserve">Nessun dd()/dump() residuo, solo 3 occorrenze di env() fuori da config, CI con test su SQLite e MySQL 8, Larastan attivo.</w:t>
      </w:r>
    </w:p>
    <w:p>
      <w:pPr>
        <w:pStyle w:val="Heading1"/>
      </w:pPr>
      <w:r>
        <w:t xml:space="preserve">4. Sicurezza — criticità da affrontare</w:t>
      </w:r>
    </w:p>
    <w:p>
      <w:pPr>
        <w:spacing w:after="120" w:line="276"/>
      </w:pPr>
      <w:r>
        <w:t xml:space="preserve">In ordine di priorità. Severità: ALTA = da correggere a breve, MEDIA = pianificare, BASSA = debito noto.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4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Severità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Rischio e correzione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trustProxies(at: '*')</w:t>
            </w:r>
            <w:r>
              <w:rPr>
                <w:color w:val="595959"/>
                <w:sz w:val="18"/>
                <w:szCs w:val="18"/>
              </w:rPr>
              <w:t xml:space="preserve">  —  bootstrap/app.php:16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Fidarsi di tutti i proxy rende X-Forwarded-For falsificabile dal client: avvelena le chiavi del rate limiter, l'anti-frode su IP e la notifica “nuovo IP” sui token API. Restringere al CIDR reale del proxy di produzione (es. IP Cloudflare/cPanel).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MEDIA-ALTA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CSP con script-src 'unsafe-inline'</w:t>
            </w:r>
            <w:r>
              <w:rPr>
                <w:color w:val="595959"/>
                <w:sz w:val="18"/>
                <w:szCs w:val="18"/>
              </w:rPr>
              <w:t xml:space="preserve">  —  ContentSecurityPolicy.php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'unsafe-inline' sugli script annulla la protezione XSS della CSP. Con molti input utente (descrizioni transfer, profili) uno stored-XSS verrebbe eseguito. Passare a CSP nonce-based per request.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ApiTokenAuth: UPDATE a ogni request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Ogni chiamata API (anche GET in lettura) scrive last_used_at/last_used_ip: write amplification e contesa. Aggiornare in modo throttellato (es. solo se l'ultimo uso risale a &gt;60s). La notifica “nuovo IP” dipende inoltre dall'IP, spoofabile per il punto 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BASSA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Larastan: baseline da 383 errori, level 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Debito tecnico congelato. Non alzare il livello subito: erodere la baseline (es. -20 errori a sprint) e poi puntare al level 6.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Note minori. </w:t>
      </w:r>
      <w:r>
        <w:t xml:space="preserve">Verificare che available_balance non sia mai in $fillable sui model finanziari (deve passare solo da forceFill). Il contatore tentativi falliti dell'anti-frode è per actor_user_id: un utente con più conti può triggerare il lock su un conto diverso da quello sotto pressione — comportamento accettabile, ma da documentare.</w:t>
      </w:r>
    </w:p>
    <w:p>
      <w:pPr>
        <w:pStyle w:val="Heading1"/>
      </w:pPr>
      <w:r>
        <w:t xml:space="preserve">5. Ottimizzazioni</w:t>
      </w:r>
    </w:p>
    <w:p>
      <w:pPr>
        <w:spacing w:after="120" w:line="276"/>
      </w:pPr>
      <w:r>
        <w:rPr>
          <w:b/>
          <w:bCs/>
        </w:rPr>
        <w:t xml:space="preserve">Refactor del prossimo God-controller. </w:t>
      </w:r>
      <w:r>
        <w:t xml:space="preserve">PortalController è a 1.848 righe e 35 metodi: è il candidato numero uno dopo lo split già completato di AdminController (2.773 → 854). Estrarlo per dominio (Pay, Receive, Dashboard, Profile) come fatto per Admin/*, con FormRequest dedicati. Stesso trattamento per WebAuthnController (615) e NfcCardPaymentController (564).</w:t>
      </w:r>
    </w:p>
    <w:p>
      <w:pPr>
        <w:spacing w:after="120" w:line="276"/>
      </w:pPr>
      <w:r>
        <w:rPr>
          <w:b/>
          <w:bCs/>
        </w:rPr>
        <w:t xml:space="preserve">Indici di database. </w:t>
      </w:r>
      <w:r>
        <w:t xml:space="preserve">Verificare la presenza di indici su transfers(idempotency_key), transfers(from_account_id, created_at) e audit_logs(actor_user_id, event, created_at) — quest'ultimo viene interrogato dall'anti-frode su ogni transfer.</w:t>
      </w:r>
    </w:p>
    <w:p>
      <w:pPr>
        <w:spacing w:after="120" w:line="276"/>
      </w:pPr>
      <w:r>
        <w:rPr>
          <w:b/>
          <w:bCs/>
        </w:rPr>
        <w:t xml:space="preserve">Contesa sul conto di sistema. </w:t>
      </w:r>
      <w:r>
        <w:t xml:space="preserve">Con lockForUpdate su ogni pagamento, sotto carico la cassa (systemAccount, toccata da ogni emissione e commissione) può diventare un collo di bottiglia. Monitorare e valutare strategie di accodamento per le scritture di commissione.</w:t>
      </w:r>
    </w:p>
    <w:p>
      <w:pPr>
        <w:spacing w:after="120" w:line="276"/>
      </w:pPr>
      <w:r>
        <w:rPr>
          <w:b/>
          <w:bCs/>
        </w:rPr>
        <w:t xml:space="preserve">Eager-load mirato. </w:t>
      </w:r>
      <w:r>
        <w:t xml:space="preserve">ApiTokenAuth carica company.accounts a ogni request: caricare le relazioni solo dove servono.</w:t>
      </w:r>
    </w:p>
    <w:p>
      <w:pPr>
        <w:spacing w:after="120" w:line="276"/>
      </w:pPr>
      <w:r>
        <w:rPr>
          <w:b/>
          <w:bCs/>
        </w:rPr>
        <w:t xml:space="preserve">Driver di produzione. </w:t>
      </w:r>
      <w:r>
        <w:t xml:space="preserve">Confermare il passaggio già previsto a Redis per cache/queue/session in prod: su driver database la coda compete con le scritture finanziarie.</w:t>
      </w:r>
    </w:p>
    <w:p>
      <w:pPr>
        <w:pStyle w:val="Heading1"/>
      </w:pPr>
      <w:r>
        <w:t xml:space="preserve">6. Miglioramenti di utilizzo</w:t>
      </w:r>
    </w:p>
    <w:p>
      <w:pPr>
        <w:spacing w:after="120" w:line="276"/>
      </w:pPr>
      <w:r>
        <w:rPr>
          <w:b/>
          <w:bCs/>
        </w:rPr>
        <w:t xml:space="preserve">Alert sull'invariante dei saldi. </w:t>
      </w:r>
      <w:r>
        <w:t xml:space="preserve">Trasformare la verifica d'integrità (accounting:verify-integrity, somma dei saldi = 0) in un controllo schedulato con alert automatico, non solo comando manuale. In un circuito chiuso, un disallineamento dei saldi è l'incidente più grave e va rilevato in minuti, non a fine mese.</w:t>
      </w:r>
    </w:p>
    <w:p>
      <w:pPr>
        <w:spacing w:after="120" w:line="276"/>
      </w:pPr>
      <w:r>
        <w:rPr>
          <w:b/>
          <w:bCs/>
        </w:rPr>
        <w:t xml:space="preserve">Razionalizzare i metodi di pagamento. </w:t>
      </w:r>
      <w:r>
        <w:t xml:space="preserve">I sei canali (QR, NFC, Sonic, codice, Payment Request, link) sono potenti ma frammentano UX e superficie di test. Misurare l'uso reale e valutare la deprecazione dei meno usati.</w:t>
      </w:r>
    </w:p>
    <w:p>
      <w:pPr>
        <w:spacing w:after="120" w:line="276"/>
      </w:pPr>
      <w:r>
        <w:rPr>
          <w:b/>
          <w:bCs/>
        </w:rPr>
        <w:t xml:space="preserve">Estendere i test unitari. </w:t>
      </w:r>
      <w:r>
        <w:t xml:space="preserve">Sono presenti 54 test feature ma un solo unit test. Il motore finanziario merita test isolati sugli edge case: importo 0, self-transfer, fido al limite, valute diverse, overflow centesimi.</w:t>
      </w:r>
    </w:p>
    <w:p>
      <w:pPr>
        <w:pStyle w:val="Heading1"/>
      </w:pPr>
      <w:r>
        <w:t xml:space="preserve">7. Conclusione e prossimi passi</w:t>
      </w:r>
    </w:p>
    <w:p>
      <w:pPr>
        <w:spacing w:after="120" w:line="276"/>
      </w:pPr>
      <w:r>
        <w:t xml:space="preserve">Il progetto è solido e in fase di hardening attivo. Le criticità individuate sono per lo più di configurazione e debito tecnico, non difetti architetturali del motore finanziario, che è ben costruito. La priorità immediata è la riduzione della superficie d'attacco lato infrastruttura (trustProxies, CSP) e la messa a regime del monitoraggio dell'invariante dei saldi.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Intervento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Restringere trustProxies al CIDR del proxy di produzione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Sicurezza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CSP nonce-based al posto di script-src 'unsafe-inline'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Sicurezza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schedulato sull'invariante somma saldi =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Affidabilità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 di PortalController per dominio + FormRequest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Manutenibilità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throttellato in ApiTokenAuth + indici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test sul motore finanziario + erosione baseline Larastan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Qualità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kmoney-app — Analisi senior · 23/06/2026 · pag.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2026-06-23T13:08:34.439Z</dcterms:created>
  <dcterms:modified xsi:type="dcterms:W3CDTF">2026-06-23T13:08:34.440Z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