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4A0E65">
        <w:rPr>
          <w:rFonts w:cstheme="minorHAnsi"/>
          <w:b/>
          <w:bCs/>
          <w:sz w:val="28"/>
          <w:szCs w:val="28"/>
          <w:lang w:val="en-US"/>
        </w:rPr>
        <w:t xml:space="preserve">1.  </w:t>
      </w:r>
      <w:r w:rsidR="00B77CB7" w:rsidRPr="009E1BB4">
        <w:rPr>
          <w:rFonts w:cstheme="minorHAnsi"/>
          <w:b/>
          <w:bCs/>
          <w:sz w:val="28"/>
          <w:szCs w:val="28"/>
        </w:rPr>
        <w:t>Introduction</w:t>
      </w:r>
    </w:p>
    <w:p w14:paraId="47E5B7E4" w14:textId="534603ED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testing.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6D7565">
        <w:rPr>
          <w:rFonts w:cstheme="minorHAnsi"/>
          <w:u w:val="single"/>
        </w:rPr>
        <w:t>s</w:t>
      </w:r>
      <w:bookmarkStart w:id="0" w:name="_GoBack"/>
      <w:bookmarkEnd w:id="0"/>
      <w:r w:rsidR="003726F3" w:rsidRPr="009E1BB4">
        <w:rPr>
          <w:rFonts w:cstheme="minorHAnsi"/>
        </w:rPr>
        <w:t xml:space="preserve">è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>2.1 Relationship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2.2 Relationship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r w:rsidR="009E1BB4" w:rsidRPr="009E1BB4">
        <w:rPr>
          <w:rFonts w:cstheme="minorHAnsi"/>
          <w:b/>
          <w:bCs/>
          <w:sz w:val="28"/>
          <w:szCs w:val="28"/>
        </w:rPr>
        <w:t>Overview</w:t>
      </w:r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layer, Business layer e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 layer. Ogni sottosis</w:t>
      </w:r>
      <w:r w:rsidR="00104DC7" w:rsidRPr="009E1BB4">
        <w:rPr>
          <w:rFonts w:cstheme="minorHAnsi"/>
        </w:rPr>
        <w:t>tema si occuperà di una logica diversa. Il layer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layer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layer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Il layer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Combat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8612C03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77777777" w:rsidR="00042AAC" w:rsidRPr="009E1BB4" w:rsidRDefault="00042AAC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4EC5C61" w14:textId="3A4ECB0D" w:rsidR="00042AAC" w:rsidRPr="009E1BB4" w:rsidRDefault="00D23D0E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Requisiti di </w:t>
            </w:r>
            <w:r w:rsidR="00476D71" w:rsidRPr="009E1BB4">
              <w:rPr>
                <w:rFonts w:cstheme="minorHAnsi"/>
              </w:rPr>
              <w:t>livello per scontro PvP</w:t>
            </w:r>
            <w:r w:rsidR="009E1BB4">
              <w:rPr>
                <w:rFonts w:cstheme="minorHAnsi"/>
              </w:rPr>
              <w:t>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09EEC9" w:rsidR="00042AAC" w:rsidRPr="009E1BB4" w:rsidRDefault="004A0E6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Scontro PvE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Guild </w:t>
            </w:r>
            <w:r w:rsidR="0049438F" w:rsidRPr="009E1BB4">
              <w:rPr>
                <w:rFonts w:cstheme="minorHAnsi"/>
                <w:b/>
                <w:bCs/>
              </w:rPr>
              <w:t>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08703D0B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Gestione e </w:t>
            </w:r>
            <w:r w:rsidR="00A72F18" w:rsidRPr="009E1BB4">
              <w:rPr>
                <w:rFonts w:cstheme="minorHAnsi"/>
              </w:rPr>
              <w:t>creazione di una gilda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Market 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76A0B2" w14:textId="0474381C" w:rsidR="00A72F18" w:rsidRDefault="00A72F18" w:rsidP="009E1BB4">
      <w:pPr>
        <w:jc w:val="both"/>
        <w:rPr>
          <w:rFonts w:cstheme="minorHAnsi"/>
        </w:rPr>
      </w:pPr>
    </w:p>
    <w:p w14:paraId="79993BEC" w14:textId="20BFF4D8" w:rsidR="009E1BB4" w:rsidRDefault="009E1BB4" w:rsidP="009E1BB4">
      <w:pPr>
        <w:jc w:val="both"/>
        <w:rPr>
          <w:rFonts w:cstheme="minorHAnsi"/>
        </w:rPr>
      </w:pPr>
    </w:p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lastRenderedPageBreak/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1DDE47DA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443F5812" w:rsidR="00B02A2A" w:rsidRPr="009E1BB4" w:rsidRDefault="001D6CF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all’am</w:t>
            </w:r>
            <w:r w:rsidR="00E80A7E" w:rsidRPr="009E1BB4">
              <w:rPr>
                <w:rFonts w:cstheme="minorHAnsi"/>
              </w:rPr>
              <w:t>m</w:t>
            </w:r>
            <w:r w:rsidRPr="009E1BB4"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Moderation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3B5F039F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279519E3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Character</w:t>
            </w:r>
            <w:r w:rsidR="00DA7372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7EF0CA44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6E140216" w:rsidR="00DA7372" w:rsidRPr="009E1BB4" w:rsidRDefault="005C0F9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Creazione di un personaggio [Limite di tre]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6FC25285" w14:textId="2F5F9535" w:rsidR="00DA7372" w:rsidRPr="009E1BB4" w:rsidRDefault="005C0F95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Eliminazione personaggi</w:t>
            </w:r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Tournament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e creazione tornei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UI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>5. Pa</w:t>
      </w:r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64C01141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0D5D86" w:rsidRPr="009E1BB4">
        <w:rPr>
          <w:rFonts w:cstheme="minorHAnsi"/>
        </w:rPr>
        <w:t xml:space="preserve">, gli input divisi sono </w:t>
      </w:r>
      <w:r w:rsidR="006557F1" w:rsidRPr="009E1BB4">
        <w:rPr>
          <w:rFonts w:cstheme="minorHAnsi"/>
        </w:rPr>
        <w:t>raggruppati in classi di equivalenza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6. </w:t>
      </w:r>
      <w:r w:rsidR="009E1BB4" w:rsidRPr="009E1BB4">
        <w:rPr>
          <w:rFonts w:cstheme="minorHAnsi"/>
          <w:b/>
          <w:bCs/>
          <w:sz w:val="28"/>
          <w:szCs w:val="28"/>
        </w:rPr>
        <w:t>Approach</w:t>
      </w:r>
    </w:p>
    <w:p w14:paraId="657FA787" w14:textId="69138158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L’approccio scelto per la fase di testing</w:t>
      </w:r>
      <w:r w:rsidR="00117FF1" w:rsidRPr="009E1BB4">
        <w:rPr>
          <w:rFonts w:cstheme="minorHAnsi"/>
        </w:rPr>
        <w:t xml:space="preserve"> si è basata sulla suddivisione del testing in </w:t>
      </w:r>
      <w:r w:rsidRPr="009E1BB4">
        <w:rPr>
          <w:rFonts w:cstheme="minorHAnsi"/>
        </w:rPr>
        <w:t>tre</w:t>
      </w:r>
      <w:r w:rsidR="00117FF1" w:rsidRPr="009E1BB4">
        <w:rPr>
          <w:rFonts w:cstheme="minorHAnsi"/>
        </w:rPr>
        <w:t xml:space="preserve"> fasi: testing di unità, testing di integrazione e testing di sistema.</w:t>
      </w:r>
      <w:r w:rsidRPr="009E1BB4">
        <w:rPr>
          <w:rFonts w:cstheme="minorHAnsi"/>
        </w:rPr>
        <w:t xml:space="preserve"> In questo modo è possibile controllare in maniera efficiente ogni features implementata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7BD407B2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6.1 Testing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>il testing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>di Black-Box. Se la fase di testing è superata</w:t>
      </w:r>
      <w:r w:rsidR="0004069C" w:rsidRPr="009E1BB4">
        <w:rPr>
          <w:rFonts w:cstheme="minorHAnsi"/>
        </w:rPr>
        <w:t xml:space="preserve"> si passa alla fase di integrazione</w:t>
      </w:r>
      <w:r w:rsidR="009E1BB4" w:rsidRPr="009E1BB4">
        <w:rPr>
          <w:rFonts w:cstheme="minorHAnsi"/>
        </w:rPr>
        <w:t>.</w:t>
      </w:r>
    </w:p>
    <w:p w14:paraId="10383EB0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6E0D915E" w14:textId="58C9A5B3" w:rsidR="006816D8" w:rsidRPr="009E1BB4" w:rsidRDefault="000D41CA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</w:t>
      </w:r>
      <w:r w:rsidR="00412899" w:rsidRPr="009E1BB4">
        <w:rPr>
          <w:rFonts w:cstheme="minorHAnsi"/>
          <w:b/>
          <w:bCs/>
        </w:rPr>
        <w:t>2</w:t>
      </w:r>
      <w:r w:rsidRPr="009E1BB4">
        <w:rPr>
          <w:rFonts w:cstheme="minorHAnsi"/>
          <w:b/>
          <w:bCs/>
        </w:rPr>
        <w:t xml:space="preserve"> Testing di </w:t>
      </w:r>
      <w:r w:rsidR="00412899" w:rsidRPr="009E1BB4">
        <w:rPr>
          <w:rFonts w:cstheme="minorHAnsi"/>
          <w:b/>
          <w:bCs/>
        </w:rPr>
        <w:t>integrazione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l’unita </w:t>
      </w:r>
      <w:r w:rsidR="001724FD" w:rsidRPr="009E1BB4">
        <w:rPr>
          <w:rFonts w:cstheme="minorHAnsi"/>
        </w:rPr>
        <w:t>precedentemente</w:t>
      </w:r>
      <w:r w:rsidRPr="009E1BB4">
        <w:rPr>
          <w:rFonts w:cstheme="minorHAnsi"/>
        </w:rPr>
        <w:t xml:space="preserve"> implementata che ha superato</w:t>
      </w:r>
      <w:r w:rsidR="001724FD" w:rsidRPr="009E1BB4">
        <w:rPr>
          <w:rFonts w:cstheme="minorHAnsi"/>
        </w:rPr>
        <w:t xml:space="preserve"> la fase di testing di unità</w:t>
      </w:r>
      <w:r w:rsidR="00802679" w:rsidRPr="009E1BB4">
        <w:rPr>
          <w:rFonts w:cstheme="minorHAnsi"/>
        </w:rPr>
        <w:t xml:space="preserve"> viene integrata </w:t>
      </w:r>
      <w:r w:rsidR="00000F98" w:rsidRPr="009E1BB4">
        <w:rPr>
          <w:rFonts w:cstheme="minorHAnsi"/>
        </w:rPr>
        <w:t>con altre unità che hanno superato il testing di unità.</w:t>
      </w:r>
      <w:r w:rsidR="00823313" w:rsidRPr="009E1BB4">
        <w:rPr>
          <w:rFonts w:cstheme="minorHAnsi"/>
        </w:rPr>
        <w:t xml:space="preserve"> La strategia</w:t>
      </w:r>
      <w:r w:rsidR="00526445" w:rsidRPr="009E1BB4">
        <w:rPr>
          <w:rFonts w:cstheme="minorHAnsi"/>
        </w:rPr>
        <w:t xml:space="preserve"> che verrà adottata </w:t>
      </w:r>
      <w:r w:rsidR="00C31F43" w:rsidRPr="009E1BB4">
        <w:rPr>
          <w:rFonts w:cstheme="minorHAnsi"/>
        </w:rPr>
        <w:t>è di tipo Bottom-up. Si andrà a testare prima le entità e i manager e in seguito i control</w:t>
      </w:r>
      <w:r w:rsidR="006816D8" w:rsidRPr="009E1BB4">
        <w:rPr>
          <w:rFonts w:cstheme="minorHAnsi"/>
        </w:rPr>
        <w:t>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480410CF" w14:textId="599E1EDA" w:rsidR="000A1577" w:rsidRPr="009E1BB4" w:rsidRDefault="006816D8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>6.3 Testing di sistema</w:t>
      </w:r>
      <w:r w:rsidR="009E1BB4" w:rsidRPr="009E1BB4">
        <w:rPr>
          <w:rFonts w:cstheme="minorHAnsi"/>
          <w:b/>
        </w:rPr>
        <w:t xml:space="preserve">: </w:t>
      </w:r>
      <w:r w:rsidR="000A1577" w:rsidRPr="009E1BB4">
        <w:rPr>
          <w:rFonts w:cstheme="minorHAnsi"/>
        </w:rPr>
        <w:t xml:space="preserve">In questa fase l’intero sistema </w:t>
      </w:r>
      <w:r w:rsidR="00412B1F" w:rsidRPr="009E1BB4">
        <w:rPr>
          <w:rFonts w:cstheme="minorHAnsi"/>
        </w:rPr>
        <w:t xml:space="preserve">è pronto per essere testato. La </w:t>
      </w:r>
      <w:r w:rsidR="006D4546" w:rsidRPr="009E1BB4">
        <w:rPr>
          <w:rFonts w:cstheme="minorHAnsi"/>
        </w:rPr>
        <w:t>strategia</w:t>
      </w:r>
      <w:r w:rsidR="00412B1F" w:rsidRPr="009E1BB4">
        <w:rPr>
          <w:rFonts w:cstheme="minorHAnsi"/>
        </w:rPr>
        <w:t xml:space="preserve"> scelta è di tipo Testing</w:t>
      </w:r>
      <w:r w:rsidR="006D4546" w:rsidRPr="009E1BB4">
        <w:rPr>
          <w:rFonts w:cstheme="minorHAnsi"/>
        </w:rPr>
        <w:t xml:space="preserve"> funzionale utilizzando l’approccio Black-Box</w:t>
      </w:r>
      <w:r w:rsidR="009E1BB4" w:rsidRPr="009E1BB4">
        <w:rPr>
          <w:rFonts w:cstheme="minorHAnsi"/>
        </w:rPr>
        <w:t>.</w:t>
      </w:r>
    </w:p>
    <w:p w14:paraId="68F20449" w14:textId="77777777" w:rsidR="00D73D4F" w:rsidRPr="009E1BB4" w:rsidRDefault="00D73D4F" w:rsidP="009E1BB4">
      <w:pPr>
        <w:jc w:val="both"/>
        <w:rPr>
          <w:rFonts w:cstheme="minorHAnsi"/>
        </w:rPr>
      </w:pPr>
    </w:p>
    <w:p w14:paraId="18E91D35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4FA4C2C4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A48BDF3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4A075FD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lastRenderedPageBreak/>
        <w:t>7.  Suspension and Resumption</w:t>
      </w:r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7.1 Suspension</w:t>
      </w:r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testing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>alla fase di testing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7.2 Resumption</w:t>
      </w:r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testing,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testing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testing di altre unità, in caso contrario il testing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Testing materials</w:t>
      </w:r>
    </w:p>
    <w:p w14:paraId="731162D0" w14:textId="547A638D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testing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internet</w:t>
      </w:r>
      <w:r w:rsidR="00875BD7" w:rsidRPr="009E1BB4">
        <w:rPr>
          <w:rFonts w:cstheme="minorHAnsi"/>
        </w:rPr>
        <w:t xml:space="preserve">,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r w:rsidR="000837AF" w:rsidRPr="009E1BB4">
        <w:rPr>
          <w:rFonts w:cstheme="minorHAnsi"/>
        </w:rPr>
        <w:t xml:space="preserve">. Come strumenti di supporto verranno utilizzati </w:t>
      </w:r>
      <w:r w:rsidR="00C62B41" w:rsidRPr="009E1BB4">
        <w:rPr>
          <w:rFonts w:cstheme="minorHAnsi"/>
        </w:rPr>
        <w:t xml:space="preserve">il framework </w:t>
      </w:r>
      <w:r w:rsidR="000837AF" w:rsidRPr="009E1BB4">
        <w:rPr>
          <w:rFonts w:cstheme="minorHAnsi"/>
        </w:rPr>
        <w:t xml:space="preserve">JUnit </w:t>
      </w:r>
      <w:r w:rsidR="00B6779A" w:rsidRPr="009E1BB4">
        <w:rPr>
          <w:rFonts w:cstheme="minorHAnsi"/>
        </w:rPr>
        <w:t>per testare il codice JAVA e</w:t>
      </w:r>
      <w:r w:rsidR="00C62B41" w:rsidRPr="009E1BB4">
        <w:rPr>
          <w:rFonts w:cstheme="minorHAnsi"/>
        </w:rPr>
        <w:t xml:space="preserve"> il </w:t>
      </w:r>
      <w:r w:rsidR="00665F54" w:rsidRPr="009E1BB4">
        <w:rPr>
          <w:rFonts w:cstheme="minorHAnsi"/>
        </w:rPr>
        <w:t>framwork</w:t>
      </w:r>
      <w:r w:rsidR="00B6779A" w:rsidRPr="009E1BB4">
        <w:rPr>
          <w:rFonts w:cstheme="minorHAnsi"/>
        </w:rPr>
        <w:t xml:space="preserve"> Selenium per </w:t>
      </w:r>
      <w:r w:rsidR="00D56B6F" w:rsidRPr="009E1BB4">
        <w:rPr>
          <w:rFonts w:cstheme="minorHAnsi"/>
        </w:rPr>
        <w:t>testare la parte Web del progetto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>. Testing materials</w:t>
      </w:r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r w:rsidR="00185E20" w:rsidRPr="009E1BB4">
        <w:rPr>
          <w:rFonts w:cstheme="minorHAnsi"/>
        </w:rPr>
        <w:t>Testing Case Specification</w:t>
      </w:r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10. Testing Schedule</w:t>
      </w:r>
    </w:p>
    <w:p w14:paraId="1F6741BA" w14:textId="51478404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testing sarà strutturata in modo che ogni membro testerà e compilerà un </w:t>
      </w:r>
      <w:r w:rsidR="0047507C" w:rsidRPr="009E1BB4">
        <w:rPr>
          <w:rFonts w:cstheme="minorHAnsi"/>
        </w:rPr>
        <w:t xml:space="preserve">report </w:t>
      </w:r>
      <w:r w:rsidR="004E51B4" w:rsidRPr="009E1BB4">
        <w:rPr>
          <w:rFonts w:cstheme="minorHAnsi"/>
        </w:rPr>
        <w:t>di 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>implementata. Il</w:t>
      </w:r>
      <w:r w:rsidR="000A7A5A" w:rsidRPr="009E1BB4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 w:rsidRPr="009E1BB4">
        <w:rPr>
          <w:rFonts w:cstheme="minorHAnsi"/>
        </w:rPr>
        <w:t>riscontrati.</w:t>
      </w:r>
    </w:p>
    <w:p w14:paraId="01BC4A09" w14:textId="4AFAD729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34BE5D1" w14:textId="77777777" w:rsidR="00185E20" w:rsidRPr="009E1BB4" w:rsidRDefault="00185E20" w:rsidP="009E1BB4">
      <w:pPr>
        <w:jc w:val="both"/>
        <w:rPr>
          <w:rFonts w:cstheme="minorHAnsi"/>
        </w:rPr>
      </w:pPr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377DF"/>
    <w:rsid w:val="0004069C"/>
    <w:rsid w:val="00041222"/>
    <w:rsid w:val="00042AAC"/>
    <w:rsid w:val="0005412B"/>
    <w:rsid w:val="0008044A"/>
    <w:rsid w:val="000837AF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12899"/>
    <w:rsid w:val="00412B1F"/>
    <w:rsid w:val="0044798F"/>
    <w:rsid w:val="00465AFE"/>
    <w:rsid w:val="0047507C"/>
    <w:rsid w:val="00476D71"/>
    <w:rsid w:val="0049438F"/>
    <w:rsid w:val="004A0E65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C6C"/>
    <w:rsid w:val="005953B9"/>
    <w:rsid w:val="005C0F95"/>
    <w:rsid w:val="005D74F0"/>
    <w:rsid w:val="005F280D"/>
    <w:rsid w:val="006324EE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6D7565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487B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30F8-4C1B-46D8-823A-D3483EA9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184</cp:revision>
  <dcterms:created xsi:type="dcterms:W3CDTF">2019-12-27T16:21:00Z</dcterms:created>
  <dcterms:modified xsi:type="dcterms:W3CDTF">2020-01-07T08:11:00Z</dcterms:modified>
</cp:coreProperties>
</file>