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595959" w:val="clear"/>
        <w:tabs>
          <w:tab w:val="left" w:pos="3128"/>
          <w:tab w:val="center" w:pos="4680"/>
          <w:tab w:val="left" w:pos="6737"/>
        </w:tabs>
        <w:spacing w:after="0" w:line="240" w:lineRule="auto"/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COST MANAGEMENT PLAN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1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02"/>
        <w:gridCol w:w="4139"/>
        <w:tblGridChange w:id="0">
          <w:tblGrid>
            <w:gridCol w:w="5102"/>
            <w:gridCol w:w="4139"/>
          </w:tblGrid>
        </w:tblGridChange>
      </w:tblGrid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Title: </w:t>
            </w:r>
            <w:r w:rsidDel="00000000" w:rsidR="00000000" w:rsidRPr="00000000">
              <w:rPr>
                <w:color w:val="808080"/>
                <w:u w:val="single"/>
                <w:rtl w:val="0"/>
              </w:rPr>
              <w:t xml:space="preserve">Barber Shop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 Prepared: </w:t>
            </w:r>
            <w:r w:rsidDel="00000000" w:rsidR="00000000" w:rsidRPr="00000000">
              <w:rPr>
                <w:color w:val="808080"/>
                <w:u w:val="single"/>
                <w:rtl w:val="0"/>
              </w:rPr>
              <w:t xml:space="preserve">04/10/2022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3192"/>
        <w:gridCol w:w="2938"/>
        <w:tblGridChange w:id="0">
          <w:tblGrid>
            <w:gridCol w:w="2942"/>
            <w:gridCol w:w="3192"/>
            <w:gridCol w:w="29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 of Measure: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Level of Precision: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Level of Accuracy: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Organizational Procedure 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El componente de la EDT usado para la contabilidad del coste del Proyecto suele ser la Cuentade Control (CA) - PMBOK.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Control Thresholds: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72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176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Mediante los umbrales de control establecemos una cantidad acordada de variación que indica el intervalo permitido a sobrepasar antes de realizar un cambio oficial. Lo expresamos como un porcentaje del  30% respecto a las líneas bases.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Rules of Performance Measurement: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72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176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ind w:left="0" w:firstLine="0"/>
              <w:rPr>
                <w:rFonts w:ascii="Arial" w:cs="Arial" w:eastAsia="Arial" w:hAnsi="Arial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rtl w:val="0"/>
              </w:rPr>
              <w:t xml:space="preserve">A parte de las siguientes metodologías para la evaluación: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rtl w:val="0"/>
              </w:rPr>
              <w:t xml:space="preserve">Satisfación 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rtl w:val="0"/>
              </w:rPr>
              <w:t xml:space="preserve">del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rtl w:val="0"/>
              </w:rPr>
              <w:t xml:space="preserve"> cliente mediante 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highlight w:val="white"/>
                <w:rtl w:val="0"/>
              </w:rPr>
              <w:t xml:space="preserve">NPS (Net Promoter Score).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highlight w:val="white"/>
                <w:rtl w:val="0"/>
              </w:rPr>
              <w:t xml:space="preserve">Skill Value y Skills Support.</w:t>
            </w:r>
          </w:p>
          <w:p w:rsidR="00000000" w:rsidDel="00000000" w:rsidP="00000000" w:rsidRDefault="00000000" w:rsidRPr="00000000" w14:paraId="0000001B">
            <w:pPr>
              <w:ind w:left="0" w:firstLine="0"/>
              <w:rPr>
                <w:rFonts w:ascii="Arial" w:cs="Arial" w:eastAsia="Arial" w:hAnsi="Arial"/>
                <w:color w:val="66666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highlight w:val="white"/>
                <w:rtl w:val="0"/>
              </w:rPr>
              <w:t xml:space="preserve">Se llevará a cabo una medición del desempeño a partir de la EDT utilizando las cuentas de control.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Cost Reporting and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72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16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Informe de costos y formato: Se definen los formatos y la frecuencia de presentación de los diferentes informes de costos. &lt;&lt;EDITAR&gt;&gt;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Additional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72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No hay nada más que añadir. Ver “HOJA DE CÁLCULO DE ESTIMACIÓN DE COSTOS” para más información.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5">
    <w:name w:val="heading 5"/>
    <w:basedOn w:val="Normal"/>
    <w:next w:val="Normal"/>
    <w:pPr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/>
    <w:rPr/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