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595959" w:val="clear"/>
        <w:tabs>
          <w:tab w:val="left" w:pos="3128"/>
          <w:tab w:val="center" w:pos="4680"/>
          <w:tab w:val="left" w:pos="6737"/>
        </w:tabs>
        <w:spacing w:after="0"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COST MANAGEMENT PLAN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1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2"/>
        <w:gridCol w:w="4139"/>
        <w:tblGridChange w:id="0">
          <w:tblGrid>
            <w:gridCol w:w="5102"/>
            <w:gridCol w:w="4139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04/10/2022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3192"/>
        <w:gridCol w:w="2938"/>
        <w:tblGridChange w:id="0">
          <w:tblGrid>
            <w:gridCol w:w="2942"/>
            <w:gridCol w:w="3192"/>
            <w:gridCol w:w="2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 of Measure: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 of Precision: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 of Accuracy: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color w:val="808080"/>
                <w:highlight w:val="yellow"/>
                <w:rtl w:val="0"/>
              </w:rPr>
              <w:t xml:space="preserve">&lt;&lt;EDITAR&gt;&gt;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color w:val="808080"/>
                <w:highlight w:val="yellow"/>
                <w:rtl w:val="0"/>
              </w:rPr>
              <w:t xml:space="preserve">&lt;&lt;EDITAR&gt;&gt;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color w:val="808080"/>
                <w:highlight w:val="yellow"/>
                <w:rtl w:val="0"/>
              </w:rPr>
              <w:t xml:space="preserve">&lt;&lt;EDITAR&gt;&gt;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Organizational Procedure Links: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El componente de la EDT usado para la contabilidad del coste del Proyecto suele ser la Cuentade Control (CA) - PMBOK.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Control Thresholds: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76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Mediante los umbrales de control establecemos una cantidad acordada de variación que indica el intervalo permitido a sobrepasar antes de realizar un cambio oficial. Lo expresamos como un porcentaje del  30% respecto a las líneas bases.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Rules of Performance Measurement: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76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0" w:firstLine="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A parte de las siguientes metodologías para la evaluación: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Satisfación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del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rtl w:val="0"/>
              </w:rPr>
              <w:t xml:space="preserve"> cliente mediante </w:t>
            </w: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NPS (Net Promoter Score).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666666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Skill Value y Skills Support.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Arial" w:cs="Arial" w:eastAsia="Arial" w:hAnsi="Arial"/>
                <w:color w:val="66666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666666"/>
                <w:highlight w:val="white"/>
                <w:rtl w:val="0"/>
              </w:rPr>
              <w:t xml:space="preserve">Se llevará a cabo una medición del desempeño a partir de la EDT utilizando las cuentas de control.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Cost Reporting and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16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Informe de costos y formato: Se definen los formatos y la frecuencia de presentación de los diferentes informes de costos. </w:t>
            </w:r>
            <w:r w:rsidDel="00000000" w:rsidR="00000000" w:rsidRPr="00000000">
              <w:rPr>
                <w:color w:val="808080"/>
                <w:highlight w:val="yellow"/>
                <w:rtl w:val="0"/>
              </w:rPr>
              <w:t xml:space="preserve">&lt;&lt;EDITAR&gt;&gt;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Additional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250.0" w:type="dxa"/>
        <w:tblBorders>
          <w:top w:color="4bacc6" w:space="0" w:sz="8" w:val="single"/>
          <w:left w:color="000000" w:space="0" w:sz="4" w:val="single"/>
          <w:bottom w:color="4bacc6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No hay nada más que añadir. Ver “HOJA DE CÁLCULO DE ESTIMACIÓN DE COSTOS” para más información.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