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23" w:rsidRPr="005C2023" w:rsidRDefault="005C2023" w:rsidP="00F173B2">
      <w:pPr>
        <w:pBdr>
          <w:bottom w:val="single" w:sz="6" w:space="4" w:color="000000"/>
        </w:pBdr>
        <w:spacing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Bitcoin</w:t>
      </w:r>
      <w:proofErr w:type="spellEnd"/>
      <w:r w:rsidRPr="005C202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Price</w:t>
      </w:r>
      <w:proofErr w:type="spellEnd"/>
      <w:r w:rsidRPr="005C202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="00F173B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Prediction</w:t>
      </w:r>
      <w:proofErr w:type="spellEnd"/>
      <w:r w:rsidR="00F173B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Using News </w:t>
      </w:r>
      <w:proofErr w:type="spellStart"/>
      <w:r w:rsidR="00F173B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Sentiment</w:t>
      </w:r>
      <w:proofErr w:type="spellEnd"/>
    </w:p>
    <w:p w:rsidR="005C2023" w:rsidRPr="005C2023" w:rsidRDefault="005C2023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Abstract</w:t>
      </w:r>
      <w:proofErr w:type="spellEnd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:</w:t>
      </w:r>
    </w:p>
    <w:p w:rsidR="005C2023" w:rsidRP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study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aim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Bitcoin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movements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analysis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cryptocurr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>ency-related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news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headlines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Our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methodology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involves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gathering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news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headlines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analysis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numerical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indicators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training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machine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learning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movements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Data Collection:</w:t>
      </w:r>
    </w:p>
    <w:p w:rsidR="005C2023" w:rsidRPr="005C2023" w:rsidRDefault="005C2023" w:rsidP="00F173B2">
      <w:p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News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Articles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Collection:</w:t>
      </w:r>
    </w:p>
    <w:p w:rsidR="005C2023" w:rsidRPr="005C2023" w:rsidRDefault="005C2023" w:rsidP="00F173B2">
      <w:pPr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News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articles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related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Bitcoin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were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collected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crawling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bitcoin.com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Selenium-based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extracted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article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title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link,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category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description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multiple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pages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website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was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saved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a JSON file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further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Data </w:t>
      </w:r>
      <w:proofErr w:type="spellStart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Processing</w:t>
      </w:r>
      <w:proofErr w:type="spellEnd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:</w:t>
      </w:r>
    </w:p>
    <w:p w:rsidR="005C2023" w:rsidRPr="005C2023" w:rsidRDefault="005C2023" w:rsidP="00F173B2">
      <w:p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Analysis: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entire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analysis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post-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has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been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broken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down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two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separate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spacing w:after="24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</w:t>
      </w: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Analysis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:</w:t>
      </w:r>
    </w:p>
    <w:p w:rsid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analysis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news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saves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JSON file.</w:t>
      </w:r>
    </w:p>
    <w:p w:rsid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uses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Transformers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library's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pre-trained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'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ProsusAI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/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finbert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' model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analyze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news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titles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labels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categorized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neutral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positive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corresponding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numerical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-1, 0,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1.</w:t>
      </w:r>
    </w:p>
    <w:p w:rsid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scores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labels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each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news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title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stored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a JSON file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organized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by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date.</w:t>
      </w:r>
    </w:p>
    <w:p w:rsidR="005C2023" w:rsidRP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reads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settings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paths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configuration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file config.ini,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including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paths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input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output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files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testing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flag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spacing w:after="24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</w:t>
      </w: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Data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Processing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:</w:t>
      </w:r>
    </w:p>
    <w:p w:rsid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loads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raw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JSON file,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applies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multipliers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scores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calculates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arithmetic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mean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each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day's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data,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saves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>essed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data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a JSON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file.</w:t>
      </w:r>
    </w:p>
    <w:p w:rsid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also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generates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CSV file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that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contains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corresponding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arithmetic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mean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If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particular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missing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default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mean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value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(0.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0) is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CSV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file.</w:t>
      </w:r>
    </w:p>
    <w:p w:rsidR="005C2023" w:rsidRPr="005C2023" w:rsidRDefault="005C2023" w:rsidP="00F173B2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script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also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reads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settings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paths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configuration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file config.ini.</w:t>
      </w:r>
    </w:p>
    <w:p w:rsidR="005C2023" w:rsidRPr="005C2023" w:rsidRDefault="005C2023" w:rsidP="00F173B2">
      <w:p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lastRenderedPageBreak/>
        <w:t xml:space="preserve">Machine Learning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Algorithm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Application:</w:t>
      </w:r>
    </w:p>
    <w:p w:rsidR="005C2023" w:rsidRPr="005C2023" w:rsidRDefault="005C2023" w:rsidP="00F173B2">
      <w:pPr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</w:t>
      </w: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Data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Loading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Preprocessing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:</w:t>
      </w:r>
    </w:p>
    <w:p w:rsidR="005C2023" w:rsidRPr="005C2023" w:rsidRDefault="005C2023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data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files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, BTC-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USD.csv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sentiment_means.csv,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loaded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form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foundation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'Close'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column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shifted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create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target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variable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where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rise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denoted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as 1,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fall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denoted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as 0.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feature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extraction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involves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differences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closing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sentiment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means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features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datasets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meticulously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handled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missing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values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merged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comprehensive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cohesive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dataset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training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testing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  </w:t>
      </w:r>
    </w:p>
    <w:p w:rsidR="005C2023" w:rsidRPr="005C2023" w:rsidRDefault="005C2023" w:rsidP="00F173B2">
      <w:pPr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</w:t>
      </w:r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Exploratory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Data Analysis:</w:t>
      </w:r>
    </w:p>
    <w:p w:rsidR="00F173B2" w:rsidRDefault="005C2023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graphical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representation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delineates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training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test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splits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over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time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series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offering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visual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insight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dataset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division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distribution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target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variable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explored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understand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balance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spread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upward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downward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movements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dataset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</w:p>
    <w:p w:rsidR="00F173B2" w:rsidRDefault="00F173B2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tr-TR"/>
        </w:rPr>
        <w:drawing>
          <wp:inline distT="0" distB="0" distL="0" distR="0">
            <wp:extent cx="5750560" cy="5672455"/>
            <wp:effectExtent l="0" t="0" r="2540" b="4445"/>
            <wp:docPr id="1" name="Resim 1" descr="C:\Users\user\AppData\Local\Temp\Rar$DRa12700.12630\Project\Plots\Time_series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12700.12630\Project\Plots\Time_series_spl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B2" w:rsidRDefault="00F173B2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F173B2" w:rsidRDefault="00F173B2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5C2023" w:rsidRPr="005C2023" w:rsidRDefault="005C2023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</w:p>
    <w:p w:rsidR="005C2023" w:rsidRPr="005C2023" w:rsidRDefault="00F173B2" w:rsidP="00F173B2">
      <w:pPr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lastRenderedPageBreak/>
        <w:t>c</w:t>
      </w:r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="005C2023"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Model </w:t>
      </w:r>
      <w:proofErr w:type="spellStart"/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Building</w:t>
      </w:r>
      <w:proofErr w:type="spellEnd"/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:</w:t>
      </w:r>
    </w:p>
    <w:p w:rsidR="005C2023" w:rsidRPr="005C2023" w:rsidRDefault="005C2023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Time Series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Split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employed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generating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training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test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ensuring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chronological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order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time-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based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splitting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optimal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time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series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StandardScaler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used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normalization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providing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standardized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features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XGBoost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which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discussed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relevant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  </w:t>
      </w:r>
    </w:p>
    <w:p w:rsidR="005C2023" w:rsidRPr="005C2023" w:rsidRDefault="00F173B2" w:rsidP="00F173B2">
      <w:pPr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d</w:t>
      </w:r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="005C2023"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proofErr w:type="spellStart"/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Hyperparameter</w:t>
      </w:r>
      <w:proofErr w:type="spellEnd"/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Tuning</w:t>
      </w:r>
      <w:proofErr w:type="spellEnd"/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:</w:t>
      </w:r>
    </w:p>
    <w:p w:rsidR="005C2023" w:rsidRDefault="005C2023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defined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space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dictionary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contains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chosen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hyperparameters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tuning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objective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function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constructed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calculate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accuracy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various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returning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loss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as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accuracy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Hyperopt's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fmin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function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instrumental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finding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effective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set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hyperparameters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XGBoost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enhancing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capabilities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  </w:t>
      </w:r>
    </w:p>
    <w:p w:rsidR="00F173B2" w:rsidRPr="005C2023" w:rsidRDefault="00F173B2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5C2023" w:rsidRPr="005C2023" w:rsidRDefault="00F173B2" w:rsidP="00F173B2">
      <w:pPr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e</w:t>
      </w:r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="005C2023" w:rsidRPr="005C2023">
        <w:rPr>
          <w:rFonts w:ascii="Segoe UI" w:eastAsia="Times New Roman" w:hAnsi="Segoe UI" w:cs="Segoe UI"/>
          <w:sz w:val="21"/>
          <w:szCs w:val="21"/>
          <w:lang w:eastAsia="tr-TR"/>
        </w:rPr>
        <w:t> </w:t>
      </w:r>
      <w:r w:rsidR="005C2023"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Model Evaluation:</w:t>
      </w:r>
    </w:p>
    <w:p w:rsidR="005C2023" w:rsidRPr="005C2023" w:rsidRDefault="005C2023" w:rsidP="00F173B2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evaluation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conducted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using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confusion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matrix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normalized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confusion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matrix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plot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visualized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clearer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insight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accuracy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score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vital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metric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computed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objective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function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during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each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iteration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tuning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All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test set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their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corresponding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true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labels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aggregated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comprehensive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evaluation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F173B2" w:rsidRDefault="00F173B2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:rsidR="005C2023" w:rsidRPr="005C2023" w:rsidRDefault="005C2023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Results</w:t>
      </w:r>
      <w:proofErr w:type="spellEnd"/>
    </w:p>
    <w:p w:rsid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sz w:val="21"/>
          <w:szCs w:val="21"/>
          <w:lang w:eastAsia="tr-TR"/>
        </w:rPr>
        <w:t>Hyperparameter</w:t>
      </w:r>
      <w:proofErr w:type="spellEnd"/>
      <w:r w:rsidRPr="005C2023">
        <w:rPr>
          <w:rFonts w:ascii="Segoe UI" w:eastAsia="Times New Roman" w:hAnsi="Segoe UI" w:cs="Segoe UI"/>
          <w:b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b/>
          <w:sz w:val="21"/>
          <w:szCs w:val="21"/>
          <w:lang w:eastAsia="tr-TR"/>
        </w:rPr>
        <w:t>Tuning</w:t>
      </w:r>
      <w:proofErr w:type="spellEnd"/>
      <w:r w:rsidRPr="005C2023">
        <w:rPr>
          <w:rFonts w:ascii="Segoe UI" w:eastAsia="Times New Roman" w:hAnsi="Segoe UI" w:cs="Segoe UI"/>
          <w:b/>
          <w:sz w:val="21"/>
          <w:szCs w:val="21"/>
          <w:lang w:eastAsia="tr-TR"/>
        </w:rPr>
        <w:t>: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</w:p>
    <w:p w:rsidR="005C2023" w:rsidRP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Hyperopt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reveal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various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combinations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XGBoost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include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colsample_bylevel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colsample_bytree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gamma,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learning_rate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max_depth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n_estimators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reg_alpha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reg_lambda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subsample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loss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values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different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combinations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hover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around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-0.529,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few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exceptions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showing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better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worse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normalized_loss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values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also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range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diversely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providing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comprehensive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insight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robustness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tuning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process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Default="005C2023" w:rsidP="00F173B2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Analyze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patterns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determine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successful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combinations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task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As an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example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configuration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colsample_bylevel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=0.5,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colsample_bytree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=0.7,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learning_rate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=3.0,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max_depth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=3,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n_estimators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=500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showed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lower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loss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-0.509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normalized_loss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1.0,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signaling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favorable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among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tested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configurations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F173B2" w:rsidRPr="005C2023" w:rsidRDefault="00F173B2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tr-TR"/>
        </w:rPr>
        <w:drawing>
          <wp:inline distT="0" distB="0" distL="0" distR="0" wp14:anchorId="497FB0BC" wp14:editId="42ABED72">
            <wp:extent cx="6161598" cy="2151529"/>
            <wp:effectExtent l="0" t="0" r="0" b="1270"/>
            <wp:docPr id="3" name="Resim 3" descr="C:\Users\user\AppData\Local\Temp\Rar$DRa12700.18326\Project\Plots\Hyperparameters_vs_Loss_parallel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12700.18326\Project\Plots\Hyperparameters_vs_Loss_parallel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369" cy="21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  <w:bookmarkStart w:id="0" w:name="_GoBack"/>
      <w:bookmarkEnd w:id="0"/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</w:pPr>
    </w:p>
    <w:p w:rsidR="006D6FD0" w:rsidRDefault="005C2023" w:rsidP="006D6FD0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lastRenderedPageBreak/>
        <w:t>Confusion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Matrix</w:t>
      </w:r>
      <w:proofErr w:type="spellEnd"/>
      <w:r w:rsidRPr="005C2023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:</w:t>
      </w: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   </w:t>
      </w:r>
    </w:p>
    <w:p w:rsidR="005C2023" w:rsidRPr="005C2023" w:rsidRDefault="005C2023" w:rsidP="00F173B2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confusion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matrix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present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following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outcomes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:</w:t>
      </w:r>
    </w:p>
    <w:p w:rsidR="005C2023" w:rsidRPr="005C2023" w:rsidRDefault="005C2023" w:rsidP="00F173B2">
      <w:pPr>
        <w:numPr>
          <w:ilvl w:val="0"/>
          <w:numId w:val="4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True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(0,0): 68329</w:t>
      </w:r>
    </w:p>
    <w:p w:rsidR="005C2023" w:rsidRPr="005C2023" w:rsidRDefault="005C2023" w:rsidP="00F173B2">
      <w:pPr>
        <w:numPr>
          <w:ilvl w:val="0"/>
          <w:numId w:val="4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False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Positives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(0,1): 12098</w:t>
      </w:r>
    </w:p>
    <w:p w:rsidR="005C2023" w:rsidRPr="005C2023" w:rsidRDefault="005C2023" w:rsidP="00F173B2">
      <w:pPr>
        <w:numPr>
          <w:ilvl w:val="0"/>
          <w:numId w:val="4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False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(1,0): 58766</w:t>
      </w:r>
    </w:p>
    <w:p w:rsidR="005C2023" w:rsidRDefault="006D6FD0" w:rsidP="00F173B2">
      <w:pPr>
        <w:numPr>
          <w:ilvl w:val="0"/>
          <w:numId w:val="4"/>
        </w:numPr>
        <w:spacing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tr-TR"/>
        </w:rPr>
        <w:drawing>
          <wp:anchor distT="0" distB="0" distL="114300" distR="114300" simplePos="0" relativeHeight="251658240" behindDoc="1" locked="0" layoutInCell="1" allowOverlap="1" wp14:anchorId="06121739" wp14:editId="7F119788">
            <wp:simplePos x="0" y="0"/>
            <wp:positionH relativeFrom="column">
              <wp:posOffset>1794031</wp:posOffset>
            </wp:positionH>
            <wp:positionV relativeFrom="paragraph">
              <wp:posOffset>225609</wp:posOffset>
            </wp:positionV>
            <wp:extent cx="1578637" cy="1256689"/>
            <wp:effectExtent l="0" t="0" r="2540" b="635"/>
            <wp:wrapTight wrapText="bothSides">
              <wp:wrapPolygon edited="0">
                <wp:start x="0" y="0"/>
                <wp:lineTo x="0" y="21283"/>
                <wp:lineTo x="21374" y="21283"/>
                <wp:lineTo x="21374" y="0"/>
                <wp:lineTo x="0" y="0"/>
              </wp:wrapPolygon>
            </wp:wrapTight>
            <wp:docPr id="5" name="Resim 5" descr="C:\Users\user\AppData\Local\Temp\Rar$DRa12700.28243\Project\Plots\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12700.28243\Project\Plots\Confusion_Matri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37" cy="125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023"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True </w:t>
      </w:r>
      <w:proofErr w:type="spellStart"/>
      <w:r w:rsidR="005C2023" w:rsidRPr="005C2023">
        <w:rPr>
          <w:rFonts w:ascii="Segoe UI" w:eastAsia="Times New Roman" w:hAnsi="Segoe UI" w:cs="Segoe UI"/>
          <w:sz w:val="21"/>
          <w:szCs w:val="21"/>
          <w:lang w:eastAsia="tr-TR"/>
        </w:rPr>
        <w:t>Positives</w:t>
      </w:r>
      <w:proofErr w:type="spellEnd"/>
      <w:r w:rsidR="005C2023"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(1,1): 11207</w:t>
      </w:r>
    </w:p>
    <w:p w:rsidR="006D6FD0" w:rsidRDefault="006D6FD0" w:rsidP="006D6FD0">
      <w:pPr>
        <w:spacing w:after="24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6D6FD0" w:rsidRDefault="006D6FD0" w:rsidP="006D6FD0">
      <w:pPr>
        <w:spacing w:after="24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6D6FD0" w:rsidRPr="005C2023" w:rsidRDefault="006D6FD0" w:rsidP="006D6FD0">
      <w:pPr>
        <w:spacing w:after="24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6D6FD0" w:rsidRDefault="006D6FD0" w:rsidP="00F173B2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</w:p>
    <w:p w:rsidR="005C2023" w:rsidRPr="005C2023" w:rsidRDefault="005C2023" w:rsidP="00F173B2">
      <w:pPr>
        <w:spacing w:after="240" w:line="240" w:lineRule="auto"/>
        <w:ind w:firstLine="360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model, as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evidenced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values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has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higher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tendency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correctly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i.e</w:t>
      </w:r>
      <w:proofErr w:type="spellEnd"/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.,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downward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movement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Bitcoin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True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count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significantly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higher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compared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True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Positives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indicating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potential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bias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towards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class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pBdr>
          <w:bottom w:val="single" w:sz="6" w:space="4" w:color="auto"/>
        </w:pBdr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Conclusion</w:t>
      </w:r>
      <w:proofErr w:type="spellEnd"/>
      <w:r w:rsidRPr="005C202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:</w:t>
      </w:r>
    </w:p>
    <w:p w:rsidR="005C2023" w:rsidRP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conclusion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experiment's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outcomes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demonstrate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varying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based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different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combinations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XGBoost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tuning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stage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executed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with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Hyperopt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provided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broad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array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offering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insights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optimal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settings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specific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set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that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gave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most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favorable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outcomes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can be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further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exploited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accurate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efficient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future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However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confusion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matrix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highlight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area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improvement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model’s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ability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correctly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positive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classes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i.e</w:t>
      </w:r>
      <w:proofErr w:type="spellEnd"/>
      <w:proofErr w:type="gram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.,</w:t>
      </w:r>
      <w:proofErr w:type="gram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upward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movement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Bitcoin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Despite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considerable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count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True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fails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achieve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balanced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True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Positives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leading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larger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number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False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Negatives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This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imbalance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signals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necessity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further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refinement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possibly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by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exploring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additional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feature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engineering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employing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different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algorithms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fine-tuning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model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architecture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parameters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.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Furthermore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incorporation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other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evaluation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metrics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such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as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precision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recall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F1-score,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could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provide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a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comprehensive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understanding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of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model's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areas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enhancement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5C2023" w:rsidRPr="005C2023" w:rsidRDefault="005C2023" w:rsidP="00F173B2">
      <w:pPr>
        <w:spacing w:after="240" w:line="240" w:lineRule="auto"/>
        <w:ind w:firstLine="708"/>
        <w:jc w:val="both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endeavor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enhance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model’s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performance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should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be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continuous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employing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insights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gained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from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these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results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to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ensure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balanced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and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accurate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predictions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Bitcoin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price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movements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in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future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analyses</w:t>
      </w:r>
      <w:proofErr w:type="spellEnd"/>
      <w:r w:rsidRPr="005C2023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:rsidR="00023C37" w:rsidRPr="005C2023" w:rsidRDefault="00023C37" w:rsidP="00F173B2">
      <w:pPr>
        <w:jc w:val="both"/>
      </w:pPr>
    </w:p>
    <w:sectPr w:rsidR="00023C37" w:rsidRPr="005C2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7EAE"/>
    <w:multiLevelType w:val="multilevel"/>
    <w:tmpl w:val="5D7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0B6E"/>
    <w:multiLevelType w:val="multilevel"/>
    <w:tmpl w:val="76A8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33156"/>
    <w:multiLevelType w:val="multilevel"/>
    <w:tmpl w:val="D0D2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2DAD"/>
    <w:multiLevelType w:val="multilevel"/>
    <w:tmpl w:val="F77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23"/>
    <w:rsid w:val="00023C37"/>
    <w:rsid w:val="005C2023"/>
    <w:rsid w:val="006D6FD0"/>
    <w:rsid w:val="00F1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2AE9"/>
  <w15:chartTrackingRefBased/>
  <w15:docId w15:val="{B167F246-3FA0-44C9-8563-4013CD79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C2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C2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202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C202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5C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C2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2023-09-28T11:44:00Z</dcterms:created>
  <dcterms:modified xsi:type="dcterms:W3CDTF">2023-09-28T12:10:00Z</dcterms:modified>
</cp:coreProperties>
</file>