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4706A6" w14:textId="77777777" w:rsidR="008F4564" w:rsidRDefault="00000000">
      <w:pPr>
        <w:spacing w:before="1080" w:after="160"/>
        <w:jc w:val="left"/>
      </w:pPr>
      <w:r>
        <w:rPr>
          <w:rFonts w:ascii="Arial Narrow" w:hAnsi="Arial Narrow"/>
          <w:b/>
          <w:sz w:val="60"/>
        </w:rPr>
        <w:t>TRABAJO FINAL</w:t>
      </w:r>
    </w:p>
    <w:p w14:paraId="0AD6E766" w14:textId="77777777" w:rsidR="008F4564" w:rsidRDefault="00000000">
      <w:pPr>
        <w:spacing w:after="440"/>
        <w:jc w:val="left"/>
      </w:pPr>
      <w:r>
        <w:rPr>
          <w:b/>
          <w:color w:val="006B7B"/>
          <w:sz w:val="32"/>
        </w:rPr>
        <w:t>Bloque 5 · Asignatura E8102 — Exploración de datos</w:t>
      </w:r>
    </w:p>
    <w:p w14:paraId="7177E667" w14:textId="77777777" w:rsidR="008F4564" w:rsidRDefault="00000000">
      <w:pPr>
        <w:spacing w:after="80"/>
        <w:jc w:val="left"/>
      </w:pPr>
      <w:r>
        <w:rPr>
          <w:b/>
          <w:color w:val="59636E"/>
        </w:rPr>
        <w:t xml:space="preserve">Docentes: </w:t>
      </w:r>
      <w:r>
        <w:rPr>
          <w:color w:val="59636E"/>
        </w:rPr>
        <w:t>Esp. Mariano Morettini y Dr. Lautaro Di Bártolo</w:t>
      </w:r>
    </w:p>
    <w:p w14:paraId="1FCF0005" w14:textId="77777777" w:rsidR="008F4564" w:rsidRDefault="00000000">
      <w:pPr>
        <w:spacing w:after="80"/>
        <w:jc w:val="left"/>
      </w:pPr>
      <w:r>
        <w:rPr>
          <w:b/>
          <w:color w:val="59636E"/>
        </w:rPr>
        <w:t xml:space="preserve">Asignatura: </w:t>
      </w:r>
      <w:r>
        <w:rPr>
          <w:color w:val="59636E"/>
        </w:rPr>
        <w:t>E8102 — Exploración de datos</w:t>
      </w:r>
    </w:p>
    <w:p w14:paraId="63408A5E" w14:textId="77777777" w:rsidR="008F4564" w:rsidRDefault="00000000">
      <w:pPr>
        <w:spacing w:after="80"/>
        <w:jc w:val="left"/>
      </w:pPr>
      <w:r>
        <w:rPr>
          <w:b/>
          <w:color w:val="59636E"/>
        </w:rPr>
        <w:t xml:space="preserve">Cohorte o comisión: </w:t>
      </w:r>
      <w:r>
        <w:rPr>
          <w:color w:val="59636E"/>
        </w:rPr>
        <w:t>Cohorte 2026</w:t>
      </w:r>
    </w:p>
    <w:p w14:paraId="3E092E16" w14:textId="77777777" w:rsidR="008F4564" w:rsidRDefault="008F4564">
      <w:pPr>
        <w:sectPr w:rsidR="008F4564">
          <w:headerReference w:type="default" r:id="rId8"/>
          <w:pgSz w:w="11906" w:h="16838"/>
          <w:pgMar w:top="4252" w:right="1276" w:bottom="1474" w:left="1276" w:header="0" w:footer="0" w:gutter="0"/>
          <w:cols w:space="720"/>
          <w:docGrid w:linePitch="360"/>
        </w:sectPr>
      </w:pPr>
    </w:p>
    <w:p>
      <w:pPr>
        <w:pStyle w:val="Heading1"/>
      </w:pPr>
      <w:r>
        <w:t>1. PAUTAS PARA EL TRABAJO FINAL</w:t>
      </w:r>
    </w:p>
    <w:p>
      <w:pPr>
        <w:pStyle w:val="Notadestacada"/>
        <w:keepLines w:val="1"/>
        <w:shd w:val="clear" w:color="auto" w:fill="EAF4F8"/>
        <w:spacing w:before="160" w:after="160"/>
        <w:ind w:left="180" w:right="180"/>
      </w:pPr>
      <w:r>
        <w:rPr/>
        <w:t xml:space="preserve">Para este trabajo hay nueve bases de datos de fuentes abiertas, listas para usar. Con cualquiera de ellas se pueden resolver los siete puntos. La sección 2 las presenta, y todas están en </w:t>
      </w:r>
      <w:hyperlink r:id="rId38">
        <w:r>
          <w:rPr>
            <w:rStyle w:val="Hyperlink"/>
          </w:rPr>
          <w:t xml:space="preserve">la carpeta de datos del trabajo final</w:t>
        </w:r>
      </w:hyperlink>
      <w:r>
        <w:rPr/>
        <w:t>. También se puede traer otra base.</w:t>
      </w:r>
    </w:p>
    <w:p>
      <w:pPr>
        <w:spacing w:before="160"/>
      </w:pPr>
      <w:r>
        <w:rPr>
          <w:b/>
        </w:rPr>
        <w:t>Descripción general:</w:t>
      </w:r>
      <w:r>
        <w:rPr/>
        <w:t xml:space="preserve"> Deberá entregarse un informe en el que se apliquen, sobre una base de datos obtenida de una fuente abierta, una serie de técnicas estadísticas abordadas durante el curso. El trabajo puede ser presentado en forma individual o en grupos de 2 personas.</w:t>
      </w:r>
    </w:p>
    <w:p>
      <w:pPr>
        <w:spacing w:before="160"/>
      </w:pPr>
      <w:r>
        <w:rPr>
          <w:b/>
        </w:rPr>
        <w:t>Fecha de entrega:</w:t>
      </w:r>
      <w:r>
        <w:rPr/>
        <w:t xml:space="preserve"> hasta el viernes 13/11/2026 a través del campus virtual.</w:t>
      </w:r>
    </w:p>
    <w:p>
      <w:pPr>
        <w:spacing w:before="160"/>
      </w:pPr>
      <w:r>
        <w:rPr>
          <w:b/>
        </w:rPr>
        <w:t>Formato:</w:t>
      </w:r>
      <w:r>
        <w:rPr/>
        <w:t xml:space="preserve"> el informe deberá realizarse en hoja A4, con tipo de letra Arial Tamaño 11, interlineado 1,5 líneas, con una cantidad máxima de 18 hojas, incluyendo portada, tablas y gráficos.</w:t>
      </w:r>
    </w:p>
    <w:p>
      <w:pPr>
        <w:spacing w:before="160"/>
      </w:pPr>
      <w:r>
        <w:rPr>
          <w:b/>
        </w:rPr>
        <w:t>Contenido:</w:t>
      </w:r>
      <w:r>
        <w:rPr/>
        <w:t xml:space="preserve"> el informe deberá contener los siguientes puntos.</w:t>
      </w:r>
    </w:p>
    <w:p>
      <w:pPr>
        <w:pStyle w:val="Heading2"/>
      </w:pPr>
      <w:r>
        <w:t>Punto 1 – Introducción y exploración de datos</w:t>
      </w:r>
    </w:p>
    <w:p>
      <w:pPr>
        <w:pStyle w:val="ListBullet"/>
        <w:keepNext w:val="1"/>
        <w:keepLines w:val="1"/>
        <w:spacing w:after="60"/>
        <w:ind w:left="357" w:right="0" w:hanging="187"/>
      </w:pPr>
      <w:r>
        <w:rPr/>
        <w:t>Tomar una base de datos de una fuente abierta (indicando el link de donde la obtuvo).</w:t>
      </w:r>
    </w:p>
    <w:p>
      <w:pPr>
        <w:pStyle w:val="ListBullet"/>
        <w:keepNext w:val="1"/>
        <w:keepLines w:val="1"/>
        <w:spacing w:after="60"/>
        <w:ind w:left="357" w:right="0" w:hanging="187"/>
      </w:pPr>
      <w:r>
        <w:rPr/>
        <w:t>Identificar tipo de variables (cuantitativas, cualitativas).</w:t>
      </w:r>
    </w:p>
    <w:p>
      <w:pPr>
        <w:pStyle w:val="ListBullet"/>
        <w:keepNext w:val="1"/>
        <w:keepLines w:val="1"/>
        <w:spacing w:after="60"/>
        <w:ind w:left="357" w:right="0" w:hanging="187"/>
      </w:pPr>
      <w:r>
        <w:rPr/>
        <w:t>Calcular medidas descriptivas básicas: media, mediana, moda, rango, desviación estándar, sobre las variables que correspondan.</w:t>
      </w:r>
    </w:p>
    <w:p>
      <w:pPr>
        <w:pStyle w:val="ListBullet"/>
        <w:keepNext w:val="1"/>
        <w:keepLines w:val="1"/>
        <w:spacing w:after="60"/>
        <w:ind w:left="357" w:right="0" w:hanging="187"/>
      </w:pPr>
      <w:r>
        <w:rPr/>
        <w:t>Realizar histogramas, boxplots, gráficos de dispersión y todo otro gráfico que considere adecuado para la descripción de las variables.</w:t>
      </w:r>
    </w:p>
    <w:p>
      <w:pPr>
        <w:pStyle w:val="ListBullet"/>
        <w:keepLines w:val="1"/>
        <w:spacing w:after="60"/>
        <w:ind w:left="357" w:right="0" w:hanging="187"/>
      </w:pPr>
      <w:r>
        <w:rPr/>
        <w:t>Presentar tabla descriptiva y gráficos iniciales, con su adecuada interpretación.</w:t>
      </w:r>
    </w:p>
    <w:p>
      <w:pPr>
        <w:pStyle w:val="Heading2"/>
      </w:pPr>
      <w:r>
        <w:t>Punto 2 – IC y TH</w:t>
      </w:r>
    </w:p>
    <w:p>
      <w:pPr>
        <w:keepNext w:val="1"/>
        <w:spacing w:before="160"/>
      </w:pPr>
      <w:r>
        <w:rPr>
          <w:b/>
        </w:rPr>
        <w:t>Intervalos de confianza y test de hipótesis para la media</w:t>
      </w:r>
    </w:p>
    <w:p>
      <w:pPr>
        <w:pStyle w:val="ListBullet"/>
        <w:keepNext w:val="1"/>
        <w:keepLines w:val="1"/>
        <w:spacing w:after="60"/>
        <w:ind w:left="357" w:right="0" w:hanging="187"/>
      </w:pPr>
      <w:r>
        <w:rPr/>
        <w:t>Seleccionar una variable numérica. Calcular un IC al 95% y al 99% para la media.</w:t>
      </w:r>
    </w:p>
    <w:p>
      <w:pPr>
        <w:pStyle w:val="ListBullet"/>
        <w:keepNext w:val="1"/>
        <w:keepLines w:val="1"/>
        <w:spacing w:after="60"/>
        <w:ind w:left="357" w:right="0" w:hanging="187"/>
      </w:pPr>
      <w:r>
        <w:rPr/>
        <w:t>Formular y resolver un test de hipótesis para esa media.</w:t>
      </w:r>
    </w:p>
    <w:p>
      <w:pPr>
        <w:pStyle w:val="ListBullet"/>
        <w:keepLines w:val="1"/>
        <w:spacing w:after="60"/>
        <w:ind w:left="357" w:right="0" w:hanging="187"/>
      </w:pPr>
      <w:r>
        <w:rPr/>
        <w:t>Redactar una breve síntesis incluyendo la hipótesis planteada, los resultados contrastados y la conclusión.</w:t>
      </w:r>
    </w:p>
    <w:p>
      <w:pPr>
        <w:keepNext w:val="1"/>
        <w:spacing w:before="160"/>
      </w:pPr>
      <w:r>
        <w:rPr>
          <w:b/>
        </w:rPr>
        <w:t>Test de hipótesis para proporciones</w:t>
      </w:r>
    </w:p>
    <w:p>
      <w:pPr>
        <w:pStyle w:val="ListBullet"/>
        <w:keepNext w:val="1"/>
        <w:keepLines w:val="1"/>
        <w:spacing w:after="60"/>
        <w:ind w:left="357" w:right="0" w:hanging="187"/>
      </w:pPr>
      <w:r>
        <w:rPr/>
        <w:t>Seleccionar una variable categórica dicotómica.</w:t>
      </w:r>
    </w:p>
    <w:p>
      <w:pPr>
        <w:pStyle w:val="ListBullet"/>
        <w:keepNext w:val="1"/>
        <w:keepLines w:val="1"/>
        <w:spacing w:after="60"/>
        <w:ind w:left="357" w:right="0" w:hanging="187"/>
      </w:pPr>
      <w:r>
        <w:rPr/>
        <w:t>Formular y resolver un TH sobre proporciones de esa variable.</w:t>
      </w:r>
    </w:p>
    <w:p>
      <w:pPr>
        <w:pStyle w:val="ListBullet"/>
        <w:keepLines w:val="1"/>
        <w:spacing w:after="60"/>
        <w:ind w:left="357" w:right="0" w:hanging="187"/>
      </w:pPr>
      <w:r>
        <w:rPr/>
        <w:t>Presentar gráficamente los resultados y redactar breve interpretación.</w:t>
      </w:r>
    </w:p>
    <w:p>
      <w:pPr>
        <w:pStyle w:val="Heading2"/>
      </w:pPr>
      <w:r>
        <w:t>Punto 3 – Varianza y diferencias de media</w:t>
      </w:r>
    </w:p>
    <w:p>
      <w:pPr>
        <w:pStyle w:val="ListBullet"/>
        <w:keepNext w:val="1"/>
        <w:keepLines w:val="1"/>
        <w:spacing w:after="60"/>
        <w:ind w:left="357" w:right="0" w:hanging="187"/>
      </w:pPr>
      <w:r>
        <w:rPr/>
        <w:t>Comparar la varianza entre dos grupos (ej. Género).</w:t>
      </w:r>
    </w:p>
    <w:p>
      <w:pPr>
        <w:pStyle w:val="ListBullet"/>
        <w:keepNext w:val="1"/>
        <w:keepLines w:val="1"/>
        <w:spacing w:after="60"/>
        <w:ind w:left="357" w:right="0" w:hanging="187"/>
      </w:pPr>
      <w:r>
        <w:rPr/>
        <w:t>Realizar un TH sobre la diferencia de medias.</w:t>
      </w:r>
    </w:p>
    <w:p>
      <w:pPr>
        <w:pStyle w:val="ListBullet"/>
        <w:keepLines w:val="1"/>
        <w:spacing w:after="60"/>
        <w:ind w:left="357" w:right="0" w:hanging="187"/>
      </w:pPr>
      <w:r>
        <w:rPr/>
        <w:t>Realizar una breve redacción con hipótesis, resultados e interpretación.</w:t>
      </w:r>
    </w:p>
    <w:p>
      <w:pPr>
        <w:pStyle w:val="Heading2"/>
      </w:pPr>
      <w:r>
        <w:t>Punto 4 – Diferencia de proporciones y ANOVA</w:t>
      </w:r>
    </w:p>
    <w:p>
      <w:pPr>
        <w:pStyle w:val="ListBullet"/>
        <w:keepNext w:val="1"/>
        <w:keepLines w:val="1"/>
        <w:spacing w:after="60"/>
        <w:ind w:left="357" w:right="0" w:hanging="187"/>
      </w:pPr>
      <w:r>
        <w:rPr/>
        <w:t>Comparar proporciones entre dos grupos.</w:t>
      </w:r>
    </w:p>
    <w:p>
      <w:pPr>
        <w:pStyle w:val="ListBullet"/>
        <w:keepNext w:val="1"/>
        <w:keepLines w:val="1"/>
        <w:spacing w:after="60"/>
        <w:ind w:left="357" w:right="0" w:hanging="187"/>
      </w:pPr>
      <w:r>
        <w:rPr/>
        <w:t>Realizar un ANOVA con una variable numérica y un factor categórico.</w:t>
      </w:r>
    </w:p>
    <w:p>
      <w:pPr>
        <w:pStyle w:val="ListBullet"/>
        <w:keepLines w:val="1"/>
        <w:spacing w:after="60"/>
        <w:ind w:left="357" w:right="0" w:hanging="187"/>
      </w:pPr>
      <w:r>
        <w:rPr/>
        <w:t>Presentar tabla ANOVA con una breve interpretación.</w:t>
      </w:r>
    </w:p>
    <w:p>
      <w:pPr>
        <w:pStyle w:val="Heading2"/>
      </w:pPr>
      <w:r>
        <w:t>Punto 5 – Regresión y correlación</w:t>
      </w:r>
    </w:p>
    <w:p>
      <w:pPr>
        <w:pStyle w:val="ListBullet"/>
        <w:keepNext w:val="1"/>
        <w:keepLines w:val="1"/>
        <w:spacing w:after="60"/>
        <w:ind w:left="357" w:right="0" w:hanging="187"/>
      </w:pPr>
      <w:r>
        <w:rPr/>
        <w:t>Analizar la relación entre dos variables numéricas.</w:t>
      </w:r>
    </w:p>
    <w:p>
      <w:pPr>
        <w:pStyle w:val="ListBullet"/>
        <w:keepNext w:val="1"/>
        <w:keepLines w:val="1"/>
        <w:spacing w:after="60"/>
        <w:ind w:left="357" w:right="0" w:hanging="187"/>
      </w:pPr>
      <w:r>
        <w:rPr/>
        <w:t>Calcular coeficiente de correlación.</w:t>
      </w:r>
    </w:p>
    <w:p>
      <w:pPr>
        <w:pStyle w:val="ListBullet"/>
        <w:keepNext w:val="1"/>
        <w:keepLines w:val="1"/>
        <w:spacing w:after="60"/>
        <w:ind w:left="357" w:right="0" w:hanging="187"/>
      </w:pPr>
      <w:r>
        <w:rPr/>
        <w:t>Ajustar una regresión lineal simple.</w:t>
      </w:r>
    </w:p>
    <w:p>
      <w:pPr>
        <w:pStyle w:val="ListBullet"/>
        <w:keepLines w:val="1"/>
        <w:spacing w:after="60"/>
        <w:ind w:left="357" w:right="0" w:hanging="187"/>
      </w:pPr>
      <w:r>
        <w:rPr/>
        <w:t>Presentar gráfico con recta de regresión y con su interpretación.</w:t>
      </w:r>
    </w:p>
    <w:p>
      <w:pPr>
        <w:pStyle w:val="Heading2"/>
      </w:pPr>
      <w:r>
        <w:t>Punto 6 – Test Chi-cuadrado</w:t>
      </w:r>
    </w:p>
    <w:p>
      <w:pPr>
        <w:pStyle w:val="ListBullet"/>
        <w:keepNext w:val="1"/>
        <w:keepLines w:val="1"/>
        <w:spacing w:after="60"/>
        <w:ind w:left="357" w:right="0" w:hanging="187"/>
      </w:pPr>
      <w:r>
        <w:rPr/>
        <w:t>Construir tablas de contingencia con dos variables categóricas.</w:t>
      </w:r>
    </w:p>
    <w:p>
      <w:pPr>
        <w:pStyle w:val="ListBullet"/>
        <w:keepNext w:val="1"/>
        <w:keepLines w:val="1"/>
        <w:spacing w:after="60"/>
        <w:ind w:left="357" w:right="0" w:hanging="187"/>
      </w:pPr>
      <w:r>
        <w:rPr/>
        <w:t>Aplicar test Chi-cuadrado de independencia.</w:t>
      </w:r>
    </w:p>
    <w:p>
      <w:pPr>
        <w:pStyle w:val="ListBullet"/>
        <w:keepLines w:val="1"/>
        <w:spacing w:after="60"/>
        <w:ind w:left="357" w:right="0" w:hanging="187"/>
      </w:pPr>
      <w:r>
        <w:rPr/>
        <w:t>Presentar tabla con una interpretación sobre asociación.</w:t>
      </w:r>
    </w:p>
    <w:p>
      <w:pPr>
        <w:pStyle w:val="Heading2"/>
      </w:pPr>
      <w:r>
        <w:t>Punto 7 – Tests no paramétricos</w:t>
      </w:r>
    </w:p>
    <w:p>
      <w:pPr>
        <w:keepNext w:val="1"/>
      </w:pPr>
      <w:r>
        <w:rPr/>
        <w:t>Aplicar en la base, según el tipo de variable, al menos uno de los siguientes test, presentando un informe con los resultados obtenidos y las conclusiones:</w:t>
      </w:r>
    </w:p>
    <w:p>
      <w:pPr>
        <w:pStyle w:val="ListNumber"/>
        <w:keepNext w:val="1"/>
        <w:keepLines w:val="1"/>
        <w:numPr>
          <w:ilvl w:val="0"/>
          <w:numId w:val="14"/>
        </w:numPr>
        <w:spacing w:after="60"/>
      </w:pPr>
      <w:r>
        <w:rPr/>
        <w:t>Test de Wilcoxon</w:t>
      </w:r>
    </w:p>
    <w:p>
      <w:pPr>
        <w:pStyle w:val="ListNumber"/>
        <w:keepNext w:val="1"/>
        <w:keepLines w:val="1"/>
        <w:numPr>
          <w:ilvl w:val="0"/>
          <w:numId w:val="14"/>
        </w:numPr>
        <w:spacing w:after="60"/>
      </w:pPr>
      <w:r>
        <w:rPr/>
        <w:t>Test de Kruskal-Wallis</w:t>
      </w:r>
    </w:p>
    <w:p>
      <w:pPr>
        <w:pStyle w:val="ListNumber"/>
        <w:keepLines w:val="1"/>
        <w:numPr>
          <w:ilvl w:val="0"/>
          <w:numId w:val="14"/>
        </w:numPr>
        <w:spacing w:after="60"/>
      </w:pPr>
      <w:r>
        <w:rPr/>
        <w:t>Test de Mann-Whitney</w:t>
      </w:r>
    </w:p>
    <w:p>
      <w:pPr>
        <w:pStyle w:val="Heading1"/>
        <w:pageBreakBefore w:val="1"/>
      </w:pPr>
      <w:r>
        <w:t>2. LAS BASES DE DATOS</w:t>
      </w:r>
    </w:p>
    <w:p>
      <w:r>
        <w:rPr/>
        <w:t>Las nueve bases están en esta carpeta de GitHub, que se abre en el navegador sin crear una cuenta:</w:t>
      </w:r>
    </w:p>
    <w:p>
      <w:hyperlink r:id="rId38">
        <w:r>
          <w:rPr>
            <w:rStyle w:val="Hyperlink"/>
          </w:rPr>
          <w:t xml:space="preserve">https://github.com/lautarodibartolo-ae/e8102-exploracion-de-datos/tree/main/bloque-5-trabajo-final/datos</w:t>
        </w:r>
      </w:hyperlink>
    </w:p>
    <w:p>
      <w:pPr>
        <w:keepNext w:val="1"/>
      </w:pPr>
      <w:r>
        <w:rPr/>
        <w:t xml:space="preserve">Cada base tiene dos archivos con el mismo nombre: un </w:t>
      </w:r>
      <w:r>
        <w:rPr>
          <w:rStyle w:val="MacroTextChar"/>
        </w:rPr>
        <w:t>.csv</w:t>
      </w:r>
      <w:r>
        <w:rPr/>
        <w:t xml:space="preserve"> con los datos y un </w:t>
      </w:r>
      <w:r>
        <w:rPr>
          <w:rStyle w:val="MacroTextChar"/>
        </w:rPr>
        <w:t>.md</w:t>
      </w:r>
      <w:r>
        <w:rPr/>
        <w:t xml:space="preserve"> con su descripción. La descripción dice qué es una fila, qué quiere decir cada columna, qué cuidados pide el análisis, qué columnas sirven para cada punto, y cuál es la fuente original, con su link y su licencia. En la tabla, el nombre de cada base abre su descripción.</w:t>
      </w:r>
    </w:p>
    <w:tbl>
      <w:tblPr>
        <w:tblStyle w:val="TableGrid"/>
        <w:tblW w:type="dxa" w:w="9354"/>
        <w:tblLayout w:type="fixed"/>
        <w:tblLook w:firstColumn="1" w:firstRow="1" w:lastColumn="0" w:lastRow="0" w:noHBand="0" w:noVBand="1" w:val="04A0"/>
        <w:tblLayout w:type="fixed"/>
      </w:tblPr>
      <w:tblGrid>
        <w:gridCol w:w="2040"/>
        <w:gridCol w:w="4856"/>
        <w:gridCol w:w="1167"/>
        <w:gridCol w:w="1291"/>
      </w:tblGrid>
      <w:tr>
        <w:trPr>
          <w:tblHeader/>
          <w:cantSplit/>
        </w:trPr>
        <w:tc>
          <w:tcPr>
            <w:tcW w:type="dxa" w:w="2040"/>
            <w:shd w:val="clear" w:color="auto" w:fill="006B7B"/>
            <w:tcMar>
              <w:top w:w="55" w:type="dxa"/>
              <w:left w:w="85" w:type="dxa"/>
              <w:bottom w:w="55" w:type="dxa"/>
              <w:right w:w="85" w:type="dxa"/>
            </w:tcMar>
            <w:vAlign w:val="center"/>
          </w:tcPr>
          <w:p>
            <w:pPr>
              <w:spacing w:after="0"/>
              <w:jc w:val="center"/>
            </w:pPr>
            <w:r>
              <w:rPr>
                <w:sz w:val="16"/>
                <w:b/>
                <w:color w:val="FFFFFF"/>
              </w:rPr>
              <w:t>Base</w:t>
            </w:r>
          </w:p>
        </w:tc>
        <w:tc>
          <w:tcPr>
            <w:tcW w:type="dxa" w:w="4856"/>
            <w:shd w:val="clear" w:color="auto" w:fill="006B7B"/>
            <w:tcMar>
              <w:top w:w="55" w:type="dxa"/>
              <w:left w:w="85" w:type="dxa"/>
              <w:bottom w:w="55" w:type="dxa"/>
              <w:right w:w="85" w:type="dxa"/>
            </w:tcMar>
            <w:vAlign w:val="center"/>
          </w:tcPr>
          <w:p>
            <w:pPr>
              <w:spacing w:after="0"/>
              <w:jc w:val="center"/>
            </w:pPr>
            <w:r>
              <w:rPr>
                <w:sz w:val="16"/>
                <w:b/>
                <w:color w:val="FFFFFF"/>
              </w:rPr>
              <w:t>De qué se trata</w:t>
            </w:r>
          </w:p>
        </w:tc>
        <w:tc>
          <w:tcPr>
            <w:tcW w:type="dxa" w:w="1167"/>
            <w:shd w:val="clear" w:color="auto" w:fill="006B7B"/>
            <w:tcMar>
              <w:top w:w="55" w:type="dxa"/>
              <w:left w:w="85" w:type="dxa"/>
              <w:bottom w:w="55" w:type="dxa"/>
              <w:right w:w="85" w:type="dxa"/>
            </w:tcMar>
            <w:vAlign w:val="center"/>
          </w:tcPr>
          <w:p>
            <w:pPr>
              <w:spacing w:after="0"/>
              <w:jc w:val="center"/>
            </w:pPr>
            <w:r>
              <w:rPr>
                <w:sz w:val="16"/>
                <w:b/>
                <w:color w:val="FFFFFF"/>
              </w:rPr>
              <w:t>Filas</w:t>
            </w:r>
          </w:p>
        </w:tc>
        <w:tc>
          <w:tcPr>
            <w:tcW w:type="dxa" w:w="1291"/>
            <w:shd w:val="clear" w:color="auto" w:fill="006B7B"/>
            <w:tcMar>
              <w:top w:w="55" w:type="dxa"/>
              <w:left w:w="85" w:type="dxa"/>
              <w:bottom w:w="55" w:type="dxa"/>
              <w:right w:w="85" w:type="dxa"/>
            </w:tcMar>
            <w:vAlign w:val="center"/>
          </w:tcPr>
          <w:p>
            <w:pPr>
              <w:spacing w:after="0"/>
              <w:jc w:val="center"/>
            </w:pPr>
            <w:r>
              <w:rPr>
                <w:sz w:val="16"/>
                <w:b/>
                <w:color w:val="FFFFFF"/>
              </w:rPr>
              <w:t>Wilcoxon</w:t>
            </w:r>
          </w:p>
        </w:tc>
      </w:tr>
      <w:tr>
        <w:trPr>
          <w:cantSplit/>
        </w:trPr>
        <w:tc>
          <w:tcPr>
            <w:tcW w:type="dxa" w:w="2040"/>
            <w:tcMar>
              <w:top w:w="55" w:type="dxa"/>
              <w:left w:w="85" w:type="dxa"/>
              <w:bottom w:w="55" w:type="dxa"/>
              <w:right w:w="85" w:type="dxa"/>
            </w:tcMar>
            <w:vAlign w:val="center"/>
          </w:tcPr>
          <w:p>
            <w:pPr>
              <w:spacing w:after="0"/>
              <w:jc w:val="left"/>
            </w:pPr>
            <w:hyperlink r:id="rId39">
              <w:r>
                <w:rPr>
                  <w:rStyle w:val="Hyperlink"/>
                  <w:sz w:val="16"/>
                </w:rPr>
                <w:t xml:space="preserve">factores_de_riesgo_2018</w:t>
              </w:r>
            </w:hyperlink>
          </w:p>
        </w:tc>
        <w:tc>
          <w:tcPr>
            <w:tcW w:type="dxa" w:w="4856"/>
            <w:tcMar>
              <w:top w:w="55" w:type="dxa"/>
              <w:left w:w="85" w:type="dxa"/>
              <w:bottom w:w="55" w:type="dxa"/>
              <w:right w:w="85" w:type="dxa"/>
            </w:tcMar>
            <w:vAlign w:val="center"/>
          </w:tcPr>
          <w:p>
            <w:pPr>
              <w:spacing w:after="0"/>
              <w:jc w:val="left"/>
            </w:pPr>
            <w:r>
              <w:rPr>
                <w:sz w:val="16"/>
              </w:rPr>
              <w:t>Encuesta Nacional de Factores de Riesgo 2018 del INDEC: peso, altura, presión arterial y hábitos de cada persona</w:t>
            </w:r>
          </w:p>
        </w:tc>
        <w:tc>
          <w:tcPr>
            <w:tcW w:type="dxa" w:w="1167"/>
            <w:tcMar>
              <w:top w:w="55" w:type="dxa"/>
              <w:left w:w="85" w:type="dxa"/>
              <w:bottom w:w="55" w:type="dxa"/>
              <w:right w:w="85" w:type="dxa"/>
            </w:tcMar>
            <w:vAlign w:val="center"/>
          </w:tcPr>
          <w:p>
            <w:pPr>
              <w:spacing w:after="0"/>
              <w:jc w:val="left"/>
            </w:pPr>
            <w:r>
              <w:rPr>
                <w:sz w:val="16"/>
              </w:rPr>
              <w:t>2.000</w:t>
            </w:r>
          </w:p>
        </w:tc>
        <w:tc>
          <w:tcPr>
            <w:tcW w:type="dxa" w:w="1291"/>
            <w:tcMar>
              <w:top w:w="55" w:type="dxa"/>
              <w:left w:w="85" w:type="dxa"/>
              <w:bottom w:w="55" w:type="dxa"/>
              <w:right w:w="85" w:type="dxa"/>
            </w:tcMar>
            <w:vAlign w:val="center"/>
          </w:tcPr>
          <w:p>
            <w:pPr>
              <w:spacing w:after="0"/>
              <w:jc w:val="left"/>
            </w:pPr>
            <w:r>
              <w:rPr>
                <w:sz w:val="16"/>
              </w:rPr>
              <w:t>sí</w:t>
            </w:r>
          </w:p>
        </w:tc>
      </w:tr>
      <w:tr>
        <w:trPr>
          <w:cantSplit/>
        </w:trPr>
        <w:tc>
          <w:tcPr>
            <w:tcW w:type="dxa" w:w="2040"/>
            <w:tcMar>
              <w:top w:w="55" w:type="dxa"/>
              <w:left w:w="85" w:type="dxa"/>
              <w:bottom w:w="55" w:type="dxa"/>
              <w:right w:w="85" w:type="dxa"/>
            </w:tcMar>
            <w:vAlign w:val="center"/>
          </w:tcPr>
          <w:p>
            <w:pPr>
              <w:spacing w:after="0"/>
              <w:jc w:val="left"/>
            </w:pPr>
            <w:hyperlink r:id="rId40">
              <w:r>
                <w:rPr>
                  <w:rStyle w:val="Hyperlink"/>
                  <w:sz w:val="16"/>
                </w:rPr>
                <w:t xml:space="preserve">agricultura_2022_23</w:t>
              </w:r>
            </w:hyperlink>
          </w:p>
        </w:tc>
        <w:tc>
          <w:tcPr>
            <w:tcW w:type="dxa" w:w="4856"/>
            <w:tcMar>
              <w:top w:w="55" w:type="dxa"/>
              <w:left w:w="85" w:type="dxa"/>
              <w:bottom w:w="55" w:type="dxa"/>
              <w:right w:w="85" w:type="dxa"/>
            </w:tcMar>
            <w:vAlign w:val="center"/>
          </w:tcPr>
          <w:p>
            <w:pPr>
              <w:spacing w:after="0"/>
              <w:jc w:val="left"/>
            </w:pPr>
            <w:r>
              <w:rPr>
                <w:sz w:val="16"/>
              </w:rPr>
              <w:t>superficie, producción y rendimiento de soja, maíz, trigo y girasol por departamento, en la campaña de la sequía</w:t>
            </w:r>
          </w:p>
        </w:tc>
        <w:tc>
          <w:tcPr>
            <w:tcW w:type="dxa" w:w="1167"/>
            <w:tcMar>
              <w:top w:w="55" w:type="dxa"/>
              <w:left w:w="85" w:type="dxa"/>
              <w:bottom w:w="55" w:type="dxa"/>
              <w:right w:w="85" w:type="dxa"/>
            </w:tcMar>
            <w:vAlign w:val="center"/>
          </w:tcPr>
          <w:p>
            <w:pPr>
              <w:spacing w:after="0"/>
              <w:jc w:val="left"/>
            </w:pPr>
            <w:r>
              <w:rPr>
                <w:sz w:val="16"/>
              </w:rPr>
              <w:t>1.041</w:t>
            </w:r>
          </w:p>
        </w:tc>
        <w:tc>
          <w:tcPr>
            <w:tcW w:type="dxa" w:w="1291"/>
            <w:tcMar>
              <w:top w:w="55" w:type="dxa"/>
              <w:left w:w="85" w:type="dxa"/>
              <w:bottom w:w="55" w:type="dxa"/>
              <w:right w:w="85" w:type="dxa"/>
            </w:tcMar>
            <w:vAlign w:val="center"/>
          </w:tcPr>
          <w:p>
            <w:pPr>
              <w:spacing w:after="0"/>
              <w:jc w:val="left"/>
            </w:pPr>
            <w:r>
              <w:rPr>
                <w:sz w:val="16"/>
              </w:rPr>
              <w:t>sí</w:t>
            </w:r>
          </w:p>
        </w:tc>
      </w:tr>
      <w:tr>
        <w:trPr>
          <w:cantSplit/>
        </w:trPr>
        <w:tc>
          <w:tcPr>
            <w:tcW w:type="dxa" w:w="2040"/>
            <w:tcMar>
              <w:top w:w="55" w:type="dxa"/>
              <w:left w:w="85" w:type="dxa"/>
              <w:bottom w:w="55" w:type="dxa"/>
              <w:right w:w="85" w:type="dxa"/>
            </w:tcMar>
            <w:vAlign w:val="center"/>
          </w:tcPr>
          <w:p>
            <w:pPr>
              <w:spacing w:after="0"/>
              <w:jc w:val="left"/>
            </w:pPr>
            <w:hyperlink r:id="rId41">
              <w:r>
                <w:rPr>
                  <w:rStyle w:val="Hyperlink"/>
                  <w:sz w:val="16"/>
                </w:rPr>
                <w:t xml:space="preserve">arbolado_buenos_aires</w:t>
              </w:r>
            </w:hyperlink>
          </w:p>
        </w:tc>
        <w:tc>
          <w:tcPr>
            <w:tcW w:type="dxa" w:w="4856"/>
            <w:tcMar>
              <w:top w:w="55" w:type="dxa"/>
              <w:left w:w="85" w:type="dxa"/>
              <w:bottom w:w="55" w:type="dxa"/>
              <w:right w:w="85" w:type="dxa"/>
            </w:tcMar>
            <w:vAlign w:val="center"/>
          </w:tcPr>
          <w:p>
            <w:pPr>
              <w:spacing w:after="0"/>
              <w:jc w:val="left"/>
            </w:pPr>
            <w:r>
              <w:rPr>
                <w:sz w:val="16"/>
              </w:rPr>
              <w:t>altura, diámetro e inclinación de árboles de cinco especies en los parques de la Ciudad de Buenos Aires</w:t>
            </w:r>
          </w:p>
        </w:tc>
        <w:tc>
          <w:tcPr>
            <w:tcW w:type="dxa" w:w="1167"/>
            <w:tcMar>
              <w:top w:w="55" w:type="dxa"/>
              <w:left w:w="85" w:type="dxa"/>
              <w:bottom w:w="55" w:type="dxa"/>
              <w:right w:w="85" w:type="dxa"/>
            </w:tcMar>
            <w:vAlign w:val="center"/>
          </w:tcPr>
          <w:p>
            <w:pPr>
              <w:spacing w:after="0"/>
              <w:jc w:val="left"/>
            </w:pPr>
            <w:r>
              <w:rPr>
                <w:sz w:val="16"/>
              </w:rPr>
              <w:t>2.000</w:t>
            </w:r>
          </w:p>
        </w:tc>
        <w:tc>
          <w:tcPr>
            <w:tcW w:type="dxa" w:w="1291"/>
            <w:tcMar>
              <w:top w:w="55" w:type="dxa"/>
              <w:left w:w="85" w:type="dxa"/>
              <w:bottom w:w="55" w:type="dxa"/>
              <w:right w:w="85" w:type="dxa"/>
            </w:tcMar>
            <w:vAlign w:val="center"/>
          </w:tcPr>
          <w:p>
            <w:pPr>
              <w:spacing w:after="0"/>
              <w:jc w:val="left"/>
            </w:pPr>
            <w:r>
              <w:rPr>
                <w:sz w:val="16"/>
              </w:rPr>
              <w:t>no</w:t>
            </w:r>
          </w:p>
        </w:tc>
      </w:tr>
      <w:tr>
        <w:trPr>
          <w:cantSplit/>
        </w:trPr>
        <w:tc>
          <w:tcPr>
            <w:tcW w:type="dxa" w:w="2040"/>
            <w:tcMar>
              <w:top w:w="55" w:type="dxa"/>
              <w:left w:w="85" w:type="dxa"/>
              <w:bottom w:w="55" w:type="dxa"/>
              <w:right w:w="85" w:type="dxa"/>
            </w:tcMar>
            <w:vAlign w:val="center"/>
          </w:tcPr>
          <w:p>
            <w:pPr>
              <w:spacing w:after="0"/>
              <w:jc w:val="left"/>
            </w:pPr>
            <w:hyperlink r:id="rId42">
              <w:r>
                <w:rPr>
                  <w:rStyle w:val="Hyperlink"/>
                  <w:sz w:val="16"/>
                </w:rPr>
                <w:t xml:space="preserve">pinguinos_palmer</w:t>
              </w:r>
            </w:hyperlink>
          </w:p>
        </w:tc>
        <w:tc>
          <w:tcPr>
            <w:tcW w:type="dxa" w:w="4856"/>
            <w:tcMar>
              <w:top w:w="55" w:type="dxa"/>
              <w:left w:w="85" w:type="dxa"/>
              <w:bottom w:w="55" w:type="dxa"/>
              <w:right w:w="85" w:type="dxa"/>
            </w:tcMar>
            <w:vAlign w:val="center"/>
          </w:tcPr>
          <w:p>
            <w:pPr>
              <w:spacing w:after="0"/>
              <w:jc w:val="left"/>
            </w:pPr>
            <w:r>
              <w:rPr>
                <w:sz w:val="16"/>
              </w:rPr>
              <w:t>medidas del pico, la aleta y la masa de pingüinos de tres especies en la Antártida</w:t>
            </w:r>
          </w:p>
        </w:tc>
        <w:tc>
          <w:tcPr>
            <w:tcW w:type="dxa" w:w="1167"/>
            <w:tcMar>
              <w:top w:w="55" w:type="dxa"/>
              <w:left w:w="85" w:type="dxa"/>
              <w:bottom w:w="55" w:type="dxa"/>
              <w:right w:w="85" w:type="dxa"/>
            </w:tcMar>
            <w:vAlign w:val="center"/>
          </w:tcPr>
          <w:p>
            <w:pPr>
              <w:spacing w:after="0"/>
              <w:jc w:val="left"/>
            </w:pPr>
            <w:r>
              <w:rPr>
                <w:sz w:val="16"/>
              </w:rPr>
              <w:t>344</w:t>
            </w:r>
          </w:p>
        </w:tc>
        <w:tc>
          <w:tcPr>
            <w:tcW w:type="dxa" w:w="1291"/>
            <w:tcMar>
              <w:top w:w="55" w:type="dxa"/>
              <w:left w:w="85" w:type="dxa"/>
              <w:bottom w:w="55" w:type="dxa"/>
              <w:right w:w="85" w:type="dxa"/>
            </w:tcMar>
            <w:vAlign w:val="center"/>
          </w:tcPr>
          <w:p>
            <w:pPr>
              <w:spacing w:after="0"/>
              <w:jc w:val="left"/>
            </w:pPr>
            <w:r>
              <w:rPr>
                <w:sz w:val="16"/>
              </w:rPr>
              <w:t>no</w:t>
            </w:r>
          </w:p>
        </w:tc>
      </w:tr>
      <w:tr>
        <w:trPr>
          <w:cantSplit/>
        </w:trPr>
        <w:tc>
          <w:tcPr>
            <w:tcW w:type="dxa" w:w="2040"/>
            <w:tcMar>
              <w:top w:w="55" w:type="dxa"/>
              <w:left w:w="85" w:type="dxa"/>
              <w:bottom w:w="55" w:type="dxa"/>
              <w:right w:w="85" w:type="dxa"/>
            </w:tcMar>
            <w:vAlign w:val="center"/>
          </w:tcPr>
          <w:p>
            <w:pPr>
              <w:spacing w:after="0"/>
              <w:jc w:val="left"/>
            </w:pPr>
            <w:hyperlink r:id="rId43">
              <w:r>
                <w:rPr>
                  <w:rStyle w:val="Hyperlink"/>
                  <w:sz w:val="16"/>
                </w:rPr>
                <w:t xml:space="preserve">estudiantes_portugal</w:t>
              </w:r>
            </w:hyperlink>
          </w:p>
        </w:tc>
        <w:tc>
          <w:tcPr>
            <w:tcW w:type="dxa" w:w="4856"/>
            <w:tcMar>
              <w:top w:w="55" w:type="dxa"/>
              <w:left w:w="85" w:type="dxa"/>
              <w:bottom w:w="55" w:type="dxa"/>
              <w:right w:w="85" w:type="dxa"/>
            </w:tcMar>
            <w:vAlign w:val="center"/>
          </w:tcPr>
          <w:p>
            <w:pPr>
              <w:spacing w:after="0"/>
              <w:jc w:val="left"/>
            </w:pPr>
            <w:r>
              <w:rPr>
                <w:sz w:val="16"/>
              </w:rPr>
              <w:t>notas y situación familiar de alumnos secundarios de dos escuelas de Portugal</w:t>
            </w:r>
          </w:p>
        </w:tc>
        <w:tc>
          <w:tcPr>
            <w:tcW w:type="dxa" w:w="1167"/>
            <w:tcMar>
              <w:top w:w="55" w:type="dxa"/>
              <w:left w:w="85" w:type="dxa"/>
              <w:bottom w:w="55" w:type="dxa"/>
              <w:right w:w="85" w:type="dxa"/>
            </w:tcMar>
            <w:vAlign w:val="center"/>
          </w:tcPr>
          <w:p>
            <w:pPr>
              <w:spacing w:after="0"/>
              <w:jc w:val="left"/>
            </w:pPr>
            <w:r>
              <w:rPr>
                <w:sz w:val="16"/>
              </w:rPr>
              <w:t>649</w:t>
            </w:r>
          </w:p>
        </w:tc>
        <w:tc>
          <w:tcPr>
            <w:tcW w:type="dxa" w:w="1291"/>
            <w:tcMar>
              <w:top w:w="55" w:type="dxa"/>
              <w:left w:w="85" w:type="dxa"/>
              <w:bottom w:w="55" w:type="dxa"/>
              <w:right w:w="85" w:type="dxa"/>
            </w:tcMar>
            <w:vAlign w:val="center"/>
          </w:tcPr>
          <w:p>
            <w:pPr>
              <w:spacing w:after="0"/>
              <w:jc w:val="left"/>
            </w:pPr>
            <w:r>
              <w:rPr>
                <w:sz w:val="16"/>
              </w:rPr>
              <w:t>sí</w:t>
            </w:r>
          </w:p>
        </w:tc>
      </w:tr>
      <w:tr>
        <w:trPr>
          <w:cantSplit/>
        </w:trPr>
        <w:tc>
          <w:tcPr>
            <w:tcW w:type="dxa" w:w="2040"/>
            <w:tcMar>
              <w:top w:w="55" w:type="dxa"/>
              <w:left w:w="85" w:type="dxa"/>
              <w:bottom w:w="55" w:type="dxa"/>
              <w:right w:w="85" w:type="dxa"/>
            </w:tcMar>
            <w:vAlign w:val="center"/>
          </w:tcPr>
          <w:p>
            <w:pPr>
              <w:spacing w:after="0"/>
              <w:jc w:val="left"/>
            </w:pPr>
            <w:hyperlink r:id="rId44">
              <w:r>
                <w:rPr>
                  <w:rStyle w:val="Hyperlink"/>
                  <w:sz w:val="16"/>
                </w:rPr>
                <w:t xml:space="preserve">vinos_portugal</w:t>
              </w:r>
            </w:hyperlink>
          </w:p>
        </w:tc>
        <w:tc>
          <w:tcPr>
            <w:tcW w:type="dxa" w:w="4856"/>
            <w:tcMar>
              <w:top w:w="55" w:type="dxa"/>
              <w:left w:w="85" w:type="dxa"/>
              <w:bottom w:w="55" w:type="dxa"/>
              <w:right w:w="85" w:type="dxa"/>
            </w:tcMar>
            <w:vAlign w:val="center"/>
          </w:tcPr>
          <w:p>
            <w:pPr>
              <w:spacing w:after="0"/>
              <w:jc w:val="left"/>
            </w:pPr>
            <w:r>
              <w:rPr>
                <w:sz w:val="16"/>
              </w:rPr>
              <w:t>análisis químico y nota de catadores de vinos verdes tintos y blancos de Portugal</w:t>
            </w:r>
          </w:p>
        </w:tc>
        <w:tc>
          <w:tcPr>
            <w:tcW w:type="dxa" w:w="1167"/>
            <w:tcMar>
              <w:top w:w="55" w:type="dxa"/>
              <w:left w:w="85" w:type="dxa"/>
              <w:bottom w:w="55" w:type="dxa"/>
              <w:right w:w="85" w:type="dxa"/>
            </w:tcMar>
            <w:vAlign w:val="center"/>
          </w:tcPr>
          <w:p>
            <w:pPr>
              <w:spacing w:after="0"/>
              <w:jc w:val="left"/>
            </w:pPr>
            <w:r>
              <w:rPr>
                <w:sz w:val="16"/>
              </w:rPr>
              <w:t>6.497</w:t>
            </w:r>
          </w:p>
        </w:tc>
        <w:tc>
          <w:tcPr>
            <w:tcW w:type="dxa" w:w="1291"/>
            <w:tcMar>
              <w:top w:w="55" w:type="dxa"/>
              <w:left w:w="85" w:type="dxa"/>
              <w:bottom w:w="55" w:type="dxa"/>
              <w:right w:w="85" w:type="dxa"/>
            </w:tcMar>
            <w:vAlign w:val="center"/>
          </w:tcPr>
          <w:p>
            <w:pPr>
              <w:spacing w:after="0"/>
              <w:jc w:val="left"/>
            </w:pPr>
            <w:r>
              <w:rPr>
                <w:sz w:val="16"/>
              </w:rPr>
              <w:t>no</w:t>
            </w:r>
          </w:p>
        </w:tc>
      </w:tr>
      <w:tr>
        <w:trPr>
          <w:cantSplit/>
        </w:trPr>
        <w:tc>
          <w:tcPr>
            <w:tcW w:type="dxa" w:w="2040"/>
            <w:tcMar>
              <w:top w:w="55" w:type="dxa"/>
              <w:left w:w="85" w:type="dxa"/>
              <w:bottom w:w="55" w:type="dxa"/>
              <w:right w:w="85" w:type="dxa"/>
            </w:tcMar>
            <w:vAlign w:val="center"/>
          </w:tcPr>
          <w:p>
            <w:pPr>
              <w:spacing w:after="0"/>
              <w:jc w:val="left"/>
            </w:pPr>
            <w:hyperlink r:id="rId45">
              <w:r>
                <w:rPr>
                  <w:rStyle w:val="Hyperlink"/>
                  <w:sz w:val="16"/>
                </w:rPr>
                <w:t xml:space="preserve">corazon_cleveland</w:t>
              </w:r>
            </w:hyperlink>
          </w:p>
        </w:tc>
        <w:tc>
          <w:tcPr>
            <w:tcW w:type="dxa" w:w="4856"/>
            <w:tcMar>
              <w:top w:w="55" w:type="dxa"/>
              <w:left w:w="85" w:type="dxa"/>
              <w:bottom w:w="55" w:type="dxa"/>
              <w:right w:w="85" w:type="dxa"/>
            </w:tcMar>
            <w:vAlign w:val="center"/>
          </w:tcPr>
          <w:p>
            <w:pPr>
              <w:spacing w:after="0"/>
              <w:jc w:val="left"/>
            </w:pPr>
            <w:r>
              <w:rPr>
                <w:sz w:val="16"/>
              </w:rPr>
              <w:t>estudios cardíacos de pacientes con sospecha de enfermedad coronaria, en Estados Unidos</w:t>
            </w:r>
          </w:p>
        </w:tc>
        <w:tc>
          <w:tcPr>
            <w:tcW w:type="dxa" w:w="1167"/>
            <w:tcMar>
              <w:top w:w="55" w:type="dxa"/>
              <w:left w:w="85" w:type="dxa"/>
              <w:bottom w:w="55" w:type="dxa"/>
              <w:right w:w="85" w:type="dxa"/>
            </w:tcMar>
            <w:vAlign w:val="center"/>
          </w:tcPr>
          <w:p>
            <w:pPr>
              <w:spacing w:after="0"/>
              <w:jc w:val="left"/>
            </w:pPr>
            <w:r>
              <w:rPr>
                <w:sz w:val="16"/>
              </w:rPr>
              <w:t>303</w:t>
            </w:r>
          </w:p>
        </w:tc>
        <w:tc>
          <w:tcPr>
            <w:tcW w:type="dxa" w:w="1291"/>
            <w:tcMar>
              <w:top w:w="55" w:type="dxa"/>
              <w:left w:w="85" w:type="dxa"/>
              <w:bottom w:w="55" w:type="dxa"/>
              <w:right w:w="85" w:type="dxa"/>
            </w:tcMar>
            <w:vAlign w:val="center"/>
          </w:tcPr>
          <w:p>
            <w:pPr>
              <w:spacing w:after="0"/>
              <w:jc w:val="left"/>
            </w:pPr>
            <w:r>
              <w:rPr>
                <w:sz w:val="16"/>
              </w:rPr>
              <w:t>no</w:t>
            </w:r>
          </w:p>
        </w:tc>
      </w:tr>
      <w:tr>
        <w:trPr>
          <w:cantSplit/>
        </w:trPr>
        <w:tc>
          <w:tcPr>
            <w:tcW w:type="dxa" w:w="2040"/>
            <w:tcMar>
              <w:top w:w="55" w:type="dxa"/>
              <w:left w:w="85" w:type="dxa"/>
              <w:bottom w:w="55" w:type="dxa"/>
              <w:right w:w="85" w:type="dxa"/>
            </w:tcMar>
            <w:vAlign w:val="center"/>
          </w:tcPr>
          <w:p>
            <w:pPr>
              <w:spacing w:after="0"/>
              <w:jc w:val="left"/>
            </w:pPr>
            <w:hyperlink r:id="rId46">
              <w:r>
                <w:rPr>
                  <w:rStyle w:val="Hyperlink"/>
                  <w:sz w:val="16"/>
                </w:rPr>
                <w:t xml:space="preserve">bicicletas_washington</w:t>
              </w:r>
            </w:hyperlink>
          </w:p>
        </w:tc>
        <w:tc>
          <w:tcPr>
            <w:tcW w:type="dxa" w:w="4856"/>
            <w:tcMar>
              <w:top w:w="55" w:type="dxa"/>
              <w:left w:w="85" w:type="dxa"/>
              <w:bottom w:w="55" w:type="dxa"/>
              <w:right w:w="85" w:type="dxa"/>
            </w:tcMar>
            <w:vAlign w:val="center"/>
          </w:tcPr>
          <w:p>
            <w:pPr>
              <w:spacing w:after="0"/>
              <w:jc w:val="left"/>
            </w:pPr>
            <w:r>
              <w:rPr>
                <w:sz w:val="16"/>
              </w:rPr>
              <w:t>viajes diarios en bicicletas compartidas y el clima de cada día, en Washington</w:t>
            </w:r>
          </w:p>
        </w:tc>
        <w:tc>
          <w:tcPr>
            <w:tcW w:type="dxa" w:w="1167"/>
            <w:tcMar>
              <w:top w:w="55" w:type="dxa"/>
              <w:left w:w="85" w:type="dxa"/>
              <w:bottom w:w="55" w:type="dxa"/>
              <w:right w:w="85" w:type="dxa"/>
            </w:tcMar>
            <w:vAlign w:val="center"/>
          </w:tcPr>
          <w:p>
            <w:pPr>
              <w:spacing w:after="0"/>
              <w:jc w:val="left"/>
            </w:pPr>
            <w:r>
              <w:rPr>
                <w:sz w:val="16"/>
              </w:rPr>
              <w:t>731</w:t>
            </w:r>
          </w:p>
        </w:tc>
        <w:tc>
          <w:tcPr>
            <w:tcW w:type="dxa" w:w="1291"/>
            <w:tcMar>
              <w:top w:w="55" w:type="dxa"/>
              <w:left w:w="85" w:type="dxa"/>
              <w:bottom w:w="55" w:type="dxa"/>
              <w:right w:w="85" w:type="dxa"/>
            </w:tcMar>
            <w:vAlign w:val="center"/>
          </w:tcPr>
          <w:p>
            <w:pPr>
              <w:spacing w:after="0"/>
              <w:jc w:val="left"/>
            </w:pPr>
            <w:r>
              <w:rPr>
                <w:sz w:val="16"/>
              </w:rPr>
              <w:t>sí</w:t>
            </w:r>
          </w:p>
        </w:tc>
      </w:tr>
      <w:tr>
        <w:trPr>
          <w:cantSplit/>
        </w:trPr>
        <w:tc>
          <w:tcPr>
            <w:tcW w:type="dxa" w:w="2040"/>
            <w:tcMar>
              <w:top w:w="55" w:type="dxa"/>
              <w:left w:w="85" w:type="dxa"/>
              <w:bottom w:w="55" w:type="dxa"/>
              <w:right w:w="85" w:type="dxa"/>
            </w:tcMar>
            <w:vAlign w:val="center"/>
          </w:tcPr>
          <w:p>
            <w:pPr>
              <w:spacing w:after="0"/>
              <w:jc w:val="left"/>
            </w:pPr>
            <w:hyperlink r:id="rId47">
              <w:r>
                <w:rPr>
                  <w:rStyle w:val="Hyperlink"/>
                  <w:sz w:val="16"/>
                </w:rPr>
                <w:t xml:space="preserve">autos_1970_1982</w:t>
              </w:r>
            </w:hyperlink>
          </w:p>
        </w:tc>
        <w:tc>
          <w:tcPr>
            <w:tcW w:type="dxa" w:w="4856"/>
            <w:tcMar>
              <w:top w:w="55" w:type="dxa"/>
              <w:left w:w="85" w:type="dxa"/>
              <w:bottom w:w="55" w:type="dxa"/>
              <w:right w:w="85" w:type="dxa"/>
            </w:tcMar>
            <w:vAlign w:val="center"/>
          </w:tcPr>
          <w:p>
            <w:pPr>
              <w:spacing w:after="0"/>
              <w:jc w:val="left"/>
            </w:pPr>
            <w:r>
              <w:rPr>
                <w:sz w:val="16"/>
              </w:rPr>
              <w:t>peso, potencia y rendimiento de modelos de autos de Estados Unidos, Europa y Japón</w:t>
            </w:r>
          </w:p>
        </w:tc>
        <w:tc>
          <w:tcPr>
            <w:tcW w:type="dxa" w:w="1167"/>
            <w:tcMar>
              <w:top w:w="55" w:type="dxa"/>
              <w:left w:w="85" w:type="dxa"/>
              <w:bottom w:w="55" w:type="dxa"/>
              <w:right w:w="85" w:type="dxa"/>
            </w:tcMar>
            <w:vAlign w:val="center"/>
          </w:tcPr>
          <w:p>
            <w:pPr>
              <w:spacing w:after="0"/>
              <w:jc w:val="left"/>
            </w:pPr>
            <w:r>
              <w:rPr>
                <w:sz w:val="16"/>
              </w:rPr>
              <w:t>398</w:t>
            </w:r>
          </w:p>
        </w:tc>
        <w:tc>
          <w:tcPr>
            <w:tcW w:type="dxa" w:w="1291"/>
            <w:tcMar>
              <w:top w:w="55" w:type="dxa"/>
              <w:left w:w="85" w:type="dxa"/>
              <w:bottom w:w="55" w:type="dxa"/>
              <w:right w:w="85" w:type="dxa"/>
            </w:tcMar>
            <w:vAlign w:val="center"/>
          </w:tcPr>
          <w:p>
            <w:pPr>
              <w:spacing w:after="0"/>
              <w:jc w:val="left"/>
            </w:pPr>
            <w:r>
              <w:rPr>
                <w:sz w:val="16"/>
              </w:rPr>
              <w:t>no</w:t>
            </w:r>
          </w:p>
        </w:tc>
      </w:tr>
    </w:tbl>
    <w:p>
      <w:pPr>
        <w:spacing w:after="80"/>
      </w:pPr>
    </w:p>
    <w:p>
      <w:r>
        <w:rPr/>
        <w:t>La última columna dice si la base tiene dos mediciones sobre las mismas unidades, que es lo que pide el test de Wilcoxon. El punto 7 pide al menos uno de los tres tests no paramétricos, así que una base sin mediciones apareadas sirve igual, con el test de Mann-Whitney o el de Kruskal-Wallis.</w:t>
      </w:r>
    </w:p>
    <w:p>
      <w:r>
        <w:rPr/>
        <w:t>Para descargar un CSV, hay que hacer clic en el archivo dentro de la carpeta y después en el botón de descarga, arriba a la derecha (</w:t>
      </w:r>
      <w:r>
        <w:rPr>
          <w:rStyle w:val="MacroTextChar"/>
        </w:rPr>
        <w:t>Download raw file</w:t>
      </w:r>
      <w:r>
        <w:rPr/>
        <w:t>).</w:t>
      </w:r>
    </w:p>
    <w:p>
      <w:pPr>
        <w:pStyle w:val="Heading2"/>
      </w:pPr>
      <w:r>
        <w:t>Qué poner en el informe</w:t>
      </w:r>
    </w:p>
    <w:p>
      <w:r>
        <w:rPr/>
        <w:t>El link que pide el punto 1 es el de la fuente original, que figura en la descripción de cada base. La descripción dice también qué cambió respecto del original: los nombres de las columnas y las categorías están en castellano, algunas unidades están convertidas al sistema métrico, y algunas bases son una muestra de la original. Esos cambios se mencionan en el informe. Las columnas que sugiere la descripción para cada punto son sugerencias: se pueden elegir otras.</w:t>
      </w:r>
    </w:p>
    <w:p>
      <w:pPr>
        <w:pStyle w:val="Heading2"/>
      </w:pPr>
      <w:r>
        <w:t>Si traés otra base</w:t>
      </w:r>
    </w:p>
    <w:p>
      <w:pPr>
        <w:keepNext w:val="1"/>
      </w:pPr>
      <w:r>
        <w:rPr/>
        <w:t>Antes de empezar, revisá que la base tenga lo que piden los puntos:</w:t>
      </w:r>
    </w:p>
    <w:tbl>
      <w:tblPr>
        <w:tblStyle w:val="TableGrid"/>
        <w:tblW w:type="dxa" w:w="9354"/>
        <w:tblLayout w:type="fixed"/>
        <w:tblLook w:firstColumn="1" w:firstRow="1" w:lastColumn="0" w:lastRow="0" w:noHBand="0" w:noVBand="1" w:val="04A0"/>
        <w:tblLayout w:type="fixed"/>
      </w:tblPr>
      <w:tblGrid>
        <w:gridCol w:w="2266"/>
        <w:gridCol w:w="7088"/>
      </w:tblGrid>
      <w:tr>
        <w:trPr>
          <w:tblHeader/>
          <w:cantSplit/>
        </w:trPr>
        <w:tc>
          <w:tcPr>
            <w:tcW w:type="dxa" w:w="2266"/>
            <w:shd w:val="clear" w:color="auto" w:fill="006B7B"/>
            <w:tcMar>
              <w:top w:w="55" w:type="dxa"/>
              <w:left w:w="85" w:type="dxa"/>
              <w:bottom w:w="55" w:type="dxa"/>
              <w:right w:w="85" w:type="dxa"/>
            </w:tcMar>
            <w:vAlign w:val="center"/>
          </w:tcPr>
          <w:p>
            <w:pPr>
              <w:keepNext w:val="1"/>
              <w:spacing w:after="0"/>
              <w:jc w:val="center"/>
            </w:pPr>
            <w:r>
              <w:rPr>
                <w:sz w:val="16"/>
                <w:b/>
                <w:color w:val="FFFFFF"/>
              </w:rPr>
              <w:t>Punto</w:t>
            </w:r>
          </w:p>
        </w:tc>
        <w:tc>
          <w:tcPr>
            <w:tcW w:type="dxa" w:w="7088"/>
            <w:shd w:val="clear" w:color="auto" w:fill="006B7B"/>
            <w:tcMar>
              <w:top w:w="55" w:type="dxa"/>
              <w:left w:w="85" w:type="dxa"/>
              <w:bottom w:w="55" w:type="dxa"/>
              <w:right w:w="85" w:type="dxa"/>
            </w:tcMar>
            <w:vAlign w:val="center"/>
          </w:tcPr>
          <w:p>
            <w:pPr>
              <w:keepNext w:val="1"/>
              <w:spacing w:after="0"/>
              <w:jc w:val="center"/>
            </w:pPr>
            <w:r>
              <w:rPr>
                <w:sz w:val="16"/>
                <w:b/>
                <w:color w:val="FFFFFF"/>
              </w:rPr>
              <w:t>La base necesita</w:t>
            </w:r>
          </w:p>
        </w:tc>
      </w:tr>
      <w:tr>
        <w:trPr>
          <w:cantSplit/>
        </w:trPr>
        <w:tc>
          <w:tcPr>
            <w:tcW w:type="dxa" w:w="2266"/>
            <w:tcMar>
              <w:top w:w="55" w:type="dxa"/>
              <w:left w:w="85" w:type="dxa"/>
              <w:bottom w:w="55" w:type="dxa"/>
              <w:right w:w="85" w:type="dxa"/>
            </w:tcMar>
            <w:vAlign w:val="center"/>
          </w:tcPr>
          <w:p>
            <w:pPr>
              <w:keepNext w:val="1"/>
              <w:spacing w:after="0"/>
              <w:jc w:val="left"/>
            </w:pPr>
            <w:r>
              <w:rPr>
                <w:sz w:val="16"/>
              </w:rPr>
              <w:t>1 y 2</w:t>
            </w:r>
          </w:p>
        </w:tc>
        <w:tc>
          <w:tcPr>
            <w:tcW w:type="dxa" w:w="7088"/>
            <w:tcMar>
              <w:top w:w="55" w:type="dxa"/>
              <w:left w:w="85" w:type="dxa"/>
              <w:bottom w:w="55" w:type="dxa"/>
              <w:right w:w="85" w:type="dxa"/>
            </w:tcMar>
            <w:vAlign w:val="center"/>
          </w:tcPr>
          <w:p>
            <w:pPr>
              <w:keepNext w:val="1"/>
              <w:spacing w:after="0"/>
              <w:jc w:val="left"/>
            </w:pPr>
            <w:r>
              <w:rPr>
                <w:sz w:val="16"/>
              </w:rPr>
              <w:t>una variable numérica</w:t>
            </w:r>
          </w:p>
        </w:tc>
      </w:tr>
      <w:tr>
        <w:trPr>
          <w:cantSplit/>
        </w:trPr>
        <w:tc>
          <w:tcPr>
            <w:tcW w:type="dxa" w:w="2266"/>
            <w:tcMar>
              <w:top w:w="55" w:type="dxa"/>
              <w:left w:w="85" w:type="dxa"/>
              <w:bottom w:w="55" w:type="dxa"/>
              <w:right w:w="85" w:type="dxa"/>
            </w:tcMar>
            <w:vAlign w:val="center"/>
          </w:tcPr>
          <w:p>
            <w:pPr>
              <w:keepNext w:val="1"/>
              <w:spacing w:after="0"/>
              <w:jc w:val="left"/>
            </w:pPr>
            <w:r>
              <w:rPr>
                <w:sz w:val="16"/>
              </w:rPr>
              <w:t>2</w:t>
            </w:r>
          </w:p>
        </w:tc>
        <w:tc>
          <w:tcPr>
            <w:tcW w:type="dxa" w:w="7088"/>
            <w:tcMar>
              <w:top w:w="55" w:type="dxa"/>
              <w:left w:w="85" w:type="dxa"/>
              <w:bottom w:w="55" w:type="dxa"/>
              <w:right w:w="85" w:type="dxa"/>
            </w:tcMar>
            <w:vAlign w:val="center"/>
          </w:tcPr>
          <w:p>
            <w:pPr>
              <w:keepNext w:val="1"/>
              <w:spacing w:after="0"/>
              <w:jc w:val="left"/>
            </w:pPr>
            <w:r>
              <w:rPr>
                <w:sz w:val="16"/>
              </w:rPr>
              <w:t>una variable categórica de dos valores, como sí o no</w:t>
            </w:r>
          </w:p>
        </w:tc>
      </w:tr>
      <w:tr>
        <w:trPr>
          <w:cantSplit/>
        </w:trPr>
        <w:tc>
          <w:tcPr>
            <w:tcW w:type="dxa" w:w="2266"/>
            <w:tcMar>
              <w:top w:w="55" w:type="dxa"/>
              <w:left w:w="85" w:type="dxa"/>
              <w:bottom w:w="55" w:type="dxa"/>
              <w:right w:w="85" w:type="dxa"/>
            </w:tcMar>
            <w:vAlign w:val="center"/>
          </w:tcPr>
          <w:p>
            <w:pPr>
              <w:keepNext w:val="1"/>
              <w:spacing w:after="0"/>
              <w:jc w:val="left"/>
            </w:pPr>
            <w:r>
              <w:rPr>
                <w:sz w:val="16"/>
              </w:rPr>
              <w:t>3</w:t>
            </w:r>
          </w:p>
        </w:tc>
        <w:tc>
          <w:tcPr>
            <w:tcW w:type="dxa" w:w="7088"/>
            <w:tcMar>
              <w:top w:w="55" w:type="dxa"/>
              <w:left w:w="85" w:type="dxa"/>
              <w:bottom w:w="55" w:type="dxa"/>
              <w:right w:w="85" w:type="dxa"/>
            </w:tcMar>
            <w:vAlign w:val="center"/>
          </w:tcPr>
          <w:p>
            <w:pPr>
              <w:keepNext w:val="1"/>
              <w:spacing w:after="0"/>
              <w:jc w:val="left"/>
            </w:pPr>
            <w:r>
              <w:rPr>
                <w:sz w:val="16"/>
              </w:rPr>
              <w:t>una variable numérica y dos grupos para compararla, como mujeres y varones</w:t>
            </w:r>
          </w:p>
        </w:tc>
      </w:tr>
      <w:tr>
        <w:trPr>
          <w:cantSplit/>
        </w:trPr>
        <w:tc>
          <w:tcPr>
            <w:tcW w:type="dxa" w:w="2266"/>
            <w:tcMar>
              <w:top w:w="55" w:type="dxa"/>
              <w:left w:w="85" w:type="dxa"/>
              <w:bottom w:w="55" w:type="dxa"/>
              <w:right w:w="85" w:type="dxa"/>
            </w:tcMar>
            <w:vAlign w:val="center"/>
          </w:tcPr>
          <w:p>
            <w:pPr>
              <w:keepNext w:val="1"/>
              <w:spacing w:after="0"/>
              <w:jc w:val="left"/>
            </w:pPr>
            <w:r>
              <w:rPr>
                <w:sz w:val="16"/>
              </w:rPr>
              <w:t>4</w:t>
            </w:r>
          </w:p>
        </w:tc>
        <w:tc>
          <w:tcPr>
            <w:tcW w:type="dxa" w:w="7088"/>
            <w:tcMar>
              <w:top w:w="55" w:type="dxa"/>
              <w:left w:w="85" w:type="dxa"/>
              <w:bottom w:w="55" w:type="dxa"/>
              <w:right w:w="85" w:type="dxa"/>
            </w:tcMar>
            <w:vAlign w:val="center"/>
          </w:tcPr>
          <w:p>
            <w:pPr>
              <w:keepNext w:val="1"/>
              <w:spacing w:after="0"/>
              <w:jc w:val="left"/>
            </w:pPr>
            <w:r>
              <w:rPr>
                <w:sz w:val="16"/>
              </w:rPr>
              <w:t>una variable de dos valores para comparar entre dos grupos, y un factor de tres categorías o más para el ANOVA</w:t>
            </w:r>
          </w:p>
        </w:tc>
      </w:tr>
      <w:tr>
        <w:trPr>
          <w:cantSplit/>
        </w:trPr>
        <w:tc>
          <w:tcPr>
            <w:tcW w:type="dxa" w:w="2266"/>
            <w:tcMar>
              <w:top w:w="55" w:type="dxa"/>
              <w:left w:w="85" w:type="dxa"/>
              <w:bottom w:w="55" w:type="dxa"/>
              <w:right w:w="85" w:type="dxa"/>
            </w:tcMar>
            <w:vAlign w:val="center"/>
          </w:tcPr>
          <w:p>
            <w:pPr>
              <w:keepNext w:val="1"/>
              <w:spacing w:after="0"/>
              <w:jc w:val="left"/>
            </w:pPr>
            <w:r>
              <w:rPr>
                <w:sz w:val="16"/>
              </w:rPr>
              <w:t>5</w:t>
            </w:r>
          </w:p>
        </w:tc>
        <w:tc>
          <w:tcPr>
            <w:tcW w:type="dxa" w:w="7088"/>
            <w:tcMar>
              <w:top w:w="55" w:type="dxa"/>
              <w:left w:w="85" w:type="dxa"/>
              <w:bottom w:w="55" w:type="dxa"/>
              <w:right w:w="85" w:type="dxa"/>
            </w:tcMar>
            <w:vAlign w:val="center"/>
          </w:tcPr>
          <w:p>
            <w:pPr>
              <w:keepNext w:val="1"/>
              <w:spacing w:after="0"/>
              <w:jc w:val="left"/>
            </w:pPr>
            <w:r>
              <w:rPr>
                <w:sz w:val="16"/>
              </w:rPr>
              <w:t>dos variables numéricas relacionadas</w:t>
            </w:r>
          </w:p>
        </w:tc>
      </w:tr>
      <w:tr>
        <w:trPr>
          <w:cantSplit/>
        </w:trPr>
        <w:tc>
          <w:tcPr>
            <w:tcW w:type="dxa" w:w="2266"/>
            <w:tcMar>
              <w:top w:w="55" w:type="dxa"/>
              <w:left w:w="85" w:type="dxa"/>
              <w:bottom w:w="55" w:type="dxa"/>
              <w:right w:w="85" w:type="dxa"/>
            </w:tcMar>
            <w:vAlign w:val="center"/>
          </w:tcPr>
          <w:p>
            <w:pPr>
              <w:keepNext w:val="1"/>
              <w:spacing w:after="0"/>
              <w:jc w:val="left"/>
            </w:pPr>
            <w:r>
              <w:rPr>
                <w:sz w:val="16"/>
              </w:rPr>
              <w:t>6</w:t>
            </w:r>
          </w:p>
        </w:tc>
        <w:tc>
          <w:tcPr>
            <w:tcW w:type="dxa" w:w="7088"/>
            <w:tcMar>
              <w:top w:w="55" w:type="dxa"/>
              <w:left w:w="85" w:type="dxa"/>
              <w:bottom w:w="55" w:type="dxa"/>
              <w:right w:w="85" w:type="dxa"/>
            </w:tcMar>
            <w:vAlign w:val="center"/>
          </w:tcPr>
          <w:p>
            <w:pPr>
              <w:keepNext w:val="1"/>
              <w:spacing w:after="0"/>
              <w:jc w:val="left"/>
            </w:pPr>
            <w:r>
              <w:rPr>
                <w:sz w:val="16"/>
              </w:rPr>
              <w:t>dos variables categóricas</w:t>
            </w:r>
          </w:p>
        </w:tc>
      </w:tr>
      <w:tr>
        <w:trPr>
          <w:cantSplit/>
        </w:trPr>
        <w:tc>
          <w:tcPr>
            <w:tcW w:type="dxa" w:w="2266"/>
            <w:tcMar>
              <w:top w:w="55" w:type="dxa"/>
              <w:left w:w="85" w:type="dxa"/>
              <w:bottom w:w="55" w:type="dxa"/>
              <w:right w:w="85" w:type="dxa"/>
            </w:tcMar>
            <w:vAlign w:val="center"/>
          </w:tcPr>
          <w:p>
            <w:pPr>
              <w:spacing w:after="0"/>
              <w:jc w:val="left"/>
            </w:pPr>
            <w:r>
              <w:rPr>
                <w:sz w:val="16"/>
              </w:rPr>
              <w:t>7</w:t>
            </w:r>
          </w:p>
        </w:tc>
        <w:tc>
          <w:tcPr>
            <w:tcW w:type="dxa" w:w="7088"/>
            <w:tcMar>
              <w:top w:w="55" w:type="dxa"/>
              <w:left w:w="85" w:type="dxa"/>
              <w:bottom w:w="55" w:type="dxa"/>
              <w:right w:w="85" w:type="dxa"/>
            </w:tcMar>
            <w:vAlign w:val="center"/>
          </w:tcPr>
          <w:p>
            <w:pPr>
              <w:spacing w:after="0"/>
              <w:jc w:val="left"/>
            </w:pPr>
            <w:r>
              <w:rPr>
                <w:sz w:val="16"/>
              </w:rPr>
              <w:t>para el test de Wilcoxon, dos mediciones sobre las mismas unidades; para el de Mann-Whitney o el de Kruskal-Wallis alcanzan los grupos de los puntos 3 y 4</w:t>
            </w:r>
          </w:p>
        </w:tc>
      </w:tr>
    </w:tbl>
    <w:p>
      <w:pPr>
        <w:spacing w:after="80"/>
      </w:pPr>
    </w:p>
    <w:p>
      <w:r>
        <w:rPr/>
        <w:t>Una base de decenas de miles de filas sirve, pero con tantos datos casi cualquier diferencia da un valor p chico. La sección 4.4 de la unidad 7 explica por qué un resultado significativo no es necesariamente importante.</w:t>
      </w:r>
    </w:p>
    <w:p>
      <w:pPr>
        <w:pStyle w:val="Heading1"/>
        <w:pageBreakBefore w:val="1"/>
      </w:pPr>
      <w:r>
        <w:t>3. LAS HERRAMIENTAS</w:t>
      </w:r>
    </w:p>
    <w:p>
      <w:r>
        <w:rPr/>
        <w:t>El trabajo se resuelve con la herramienta que cada uno prefiera: Excel, R, Python u otra. Los archivos de la carpeta son CSV en UTF-8, separados por comas y con punto decimal; las celdas vacías son datos faltantes.</w:t>
      </w:r>
    </w:p>
    <w:p>
      <w:r>
        <w:rPr/>
        <w:t xml:space="preserve">En R y en Python el CSV se lee directo, con </w:t>
      </w:r>
      <w:r>
        <w:rPr>
          <w:rStyle w:val="MacroTextChar"/>
        </w:rPr>
        <w:t>read.csv("archivo.csv")</w:t>
      </w:r>
      <w:r>
        <w:rPr/>
        <w:t xml:space="preserve"> en R o </w:t>
      </w:r>
      <w:r>
        <w:rPr>
          <w:rStyle w:val="MacroTextChar"/>
        </w:rPr>
        <w:t>pd.read_csv("archivo.csv")</w:t>
      </w:r>
      <w:r>
        <w:rPr/>
        <w:t xml:space="preserve"> en Python. En Excel conviene no abrirlo con doble clic: con la configuración regional de Argentina, Excel espera punto y coma entre columnas y coma decimal, y puede leer mal el archivo. </w:t>
      </w:r>
      <w:hyperlink r:id="rId48">
        <w:r>
          <w:rPr>
            <w:rStyle w:val="Hyperlink"/>
          </w:rPr>
          <w:t xml:space="preserve">Las instrucciones de la carpeta</w:t>
        </w:r>
      </w:hyperlink>
      <w:r>
        <w:rPr/>
        <w:t xml:space="preserve"> explican cómo importarlo.</w:t>
      </w:r>
    </w:p>
    <w:p>
      <w:r>
        <w:rPr/>
        <w:t xml:space="preserve">Para quien elija Python, </w:t>
      </w:r>
      <w:hyperlink r:id="rId49">
        <w:r>
          <w:rPr>
            <w:rStyle w:val="Hyperlink"/>
          </w:rPr>
          <w:t xml:space="preserve">este notebook de Google Colab</w:t>
        </w:r>
      </w:hyperlink>
      <w:r>
        <w:rPr/>
        <w:t xml:space="preserve"> carga una de las bases. No resuelve ningún punto: es un punto de partida.</w:t>
      </w:r>
    </w:p>
    <w:sectPr w:rsidR="008F4564">
      <w:headerReference w:type="default" r:id="rId35"/>
      <w:pgSz w:w="11906" w:h="16838"/>
      <w:pgMar w:top="1134" w:right="1276" w:bottom="2976" w:left="1276"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8A31D0" w14:textId="77777777" w:rsidR="008A7C34" w:rsidRDefault="008A7C34">
      <w:pPr>
        <w:spacing w:after="0" w:line="240" w:lineRule="auto"/>
      </w:pPr>
      <w:r>
        <w:separator/>
      </w:r>
    </w:p>
  </w:endnote>
  <w:endnote w:type="continuationSeparator" w:id="0">
    <w:p w14:paraId="0B270662" w14:textId="77777777" w:rsidR="008A7C34" w:rsidRDefault="008A7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E50AED" w14:textId="77777777" w:rsidR="008A7C34" w:rsidRDefault="008A7C34">
      <w:pPr>
        <w:spacing w:after="0" w:line="240" w:lineRule="auto"/>
      </w:pPr>
      <w:r>
        <w:separator/>
      </w:r>
    </w:p>
  </w:footnote>
  <w:footnote w:type="continuationSeparator" w:id="0">
    <w:p w14:paraId="2C3554FD" w14:textId="77777777" w:rsidR="008A7C34" w:rsidRDefault="008A7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AA279" w14:textId="77777777" w:rsidR="0082605C" w:rsidRDefault="004E2856">
    <w:pPr>
      <w:pStyle w:val="Header"/>
      <w:jc w:val="left"/>
    </w:pPr>
    <w:r>
      <w:rPr>
        <w:noProof/>
      </w:rPr>
      <w:drawing>
        <wp:anchor distT="0" distB="0" distL="114300" distR="114300" simplePos="0" relativeHeight="251656704" behindDoc="1" locked="0" layoutInCell="0" allowOverlap="1" wp14:anchorId="4C47C070" wp14:editId="1151FE14">
          <wp:simplePos x="0" y="0"/>
          <wp:positionH relativeFrom="page">
            <wp:posOffset>0</wp:posOffset>
          </wp:positionH>
          <wp:positionV relativeFrom="page">
            <wp:posOffset>0</wp:posOffset>
          </wp:positionV>
          <wp:extent cx="7560310" cy="10692130"/>
          <wp:effectExtent l="0" t="0" r="2540" b="0"/>
          <wp:wrapNone/>
          <wp:docPr id="3" name="EDIGE_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GE_Backgrou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921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90CB8" w14:textId="77777777" w:rsidR="0082605C" w:rsidRDefault="004E2856">
    <w:pPr>
      <w:pStyle w:val="Header"/>
      <w:jc w:val="left"/>
    </w:pPr>
    <w:r>
      <w:rPr>
        <w:noProof/>
      </w:rPr>
      <w:drawing>
        <wp:anchor distT="0" distB="0" distL="114300" distR="114300" simplePos="0" relativeHeight="251658752" behindDoc="1" locked="0" layoutInCell="0" allowOverlap="1" wp14:anchorId="772C308A" wp14:editId="1E7EACC0">
          <wp:simplePos x="0" y="0"/>
          <wp:positionH relativeFrom="page">
            <wp:posOffset>0</wp:posOffset>
          </wp:positionH>
          <wp:positionV relativeFrom="page">
            <wp:posOffset>0</wp:posOffset>
          </wp:positionV>
          <wp:extent cx="7560310" cy="10692130"/>
          <wp:effectExtent l="0" t="0" r="2540" b="0"/>
          <wp:wrapNone/>
          <wp:docPr id="1" name="EDIGE_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GE_Backgrou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921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0C2010"/>
    <w:multiLevelType w:val="hybridMultilevel"/>
    <w:tmpl w:val="8F30C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888999">
    <w:abstractNumId w:val="8"/>
  </w:num>
  <w:num w:numId="2" w16cid:durableId="1673214315">
    <w:abstractNumId w:val="6"/>
  </w:num>
  <w:num w:numId="3" w16cid:durableId="288970977">
    <w:abstractNumId w:val="5"/>
  </w:num>
  <w:num w:numId="4" w16cid:durableId="1413510555">
    <w:abstractNumId w:val="4"/>
  </w:num>
  <w:num w:numId="5" w16cid:durableId="330181046">
    <w:abstractNumId w:val="7"/>
  </w:num>
  <w:num w:numId="6" w16cid:durableId="1982228081">
    <w:abstractNumId w:val="3"/>
  </w:num>
  <w:num w:numId="7" w16cid:durableId="970596010">
    <w:abstractNumId w:val="2"/>
  </w:num>
  <w:num w:numId="8" w16cid:durableId="1512988557">
    <w:abstractNumId w:val="1"/>
  </w:num>
  <w:num w:numId="9" w16cid:durableId="600769481">
    <w:abstractNumId w:val="0"/>
  </w:num>
  <w:num w:numId="10" w16cid:durableId="1315570328">
    <w:abstractNumId w:val="7"/>
  </w:num>
  <w:num w:numId="11" w16cid:durableId="1144153429">
    <w:abstractNumId w:val="7"/>
  </w:num>
  <w:num w:numId="12" w16cid:durableId="1630277588">
    <w:abstractNumId w:val="9"/>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1CF"/>
    <w:rsid w:val="0015074B"/>
    <w:rsid w:val="0029639D"/>
    <w:rsid w:val="002C2A2F"/>
    <w:rsid w:val="00306D49"/>
    <w:rsid w:val="00326F90"/>
    <w:rsid w:val="004E2856"/>
    <w:rsid w:val="007352B1"/>
    <w:rsid w:val="0082605C"/>
    <w:rsid w:val="008A7C34"/>
    <w:rsid w:val="008F4564"/>
    <w:rsid w:val="00A33097"/>
    <w:rsid w:val="00AA1D8D"/>
    <w:rsid w:val="00B47730"/>
    <w:rsid w:val="00C069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033906"/>
  <w14:defaultImageDpi w14:val="300"/>
  <w15:docId w15:val="{4A9783E3-997C-479E-9EA8-00C8AE6D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292D32"/>
      <w:lang w:val="es-AR"/>
    </w:rPr>
  </w:style>
  <w:style w:type="paragraph" w:styleId="Heading1">
    <w:name w:val="heading 1"/>
    <w:basedOn w:val="Normal"/>
    <w:next w:val="Normal"/>
    <w:link w:val="Heading1Char"/>
    <w:uiPriority w:val="9"/>
    <w:qFormat/>
    <w:rsid w:val="00FC693F"/>
    <w:pPr>
      <w:keepNext/>
      <w:keepLines/>
      <w:spacing w:before="220" w:after="140"/>
      <w:jc w:val="left"/>
      <w:outlineLvl w:val="0"/>
    </w:pPr>
    <w:rPr>
      <w:rFonts w:ascii="Arial Narrow" w:hAnsi="Arial Narrow" w:cs="Arial Narrow"/>
      <w:b/>
      <w:bCs/>
      <w:sz w:val="42"/>
      <w:szCs w:val="28"/>
    </w:rPr>
  </w:style>
  <w:style w:type="paragraph" w:styleId="Heading2">
    <w:name w:val="heading 2"/>
    <w:basedOn w:val="Normal"/>
    <w:next w:val="Normal"/>
    <w:link w:val="Heading2Char"/>
    <w:uiPriority w:val="9"/>
    <w:unhideWhenUsed/>
    <w:qFormat/>
    <w:rsid w:val="007352B1"/>
    <w:pPr>
      <w:keepNext/>
      <w:keepLines/>
      <w:spacing w:before="360" w:after="100"/>
      <w:jc w:val="left"/>
      <w:outlineLvl w:val="1"/>
    </w:pPr>
    <w:rPr>
      <w:rFonts w:ascii="Arial Narrow" w:hAnsi="Arial Narrow" w:cs="Arial Narrow"/>
      <w:b/>
      <w:bCs/>
      <w:color w:val="006B7B"/>
      <w:sz w:val="32"/>
      <w:szCs w:val="26"/>
    </w:rPr>
  </w:style>
  <w:style w:type="paragraph" w:styleId="Heading3">
    <w:name w:val="heading 3"/>
    <w:basedOn w:val="Normal"/>
    <w:next w:val="Normal"/>
    <w:link w:val="Heading3Char"/>
    <w:uiPriority w:val="9"/>
    <w:unhideWhenUsed/>
    <w:qFormat/>
    <w:rsid w:val="00FC693F"/>
    <w:pPr>
      <w:keepNext/>
      <w:keepLines/>
      <w:spacing w:before="140" w:after="80"/>
      <w:jc w:val="left"/>
      <w:outlineLvl w:val="2"/>
    </w:pPr>
    <w:rPr>
      <w:rFonts w:ascii="Arial Narrow" w:hAnsi="Arial Narrow" w:cs="Arial Narrow"/>
      <w:b/>
      <w:bCs/>
      <w:color w:val="7742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AR"/>
    </w:rPr>
  </w:style>
  <w:style w:type="character" w:customStyle="1" w:styleId="Heading2Char">
    <w:name w:val="Heading 2 Char"/>
    <w:basedOn w:val="DefaultParagraphFont"/>
    <w:link w:val="Heading2"/>
    <w:uiPriority w:val="9"/>
    <w:rsid w:val="007352B1"/>
    <w:rPr>
      <w:rFonts w:ascii="Arial Narrow" w:hAnsi="Arial Narrow" w:cs="Arial Narrow"/>
      <w:b/>
      <w:bCs/>
      <w:color w:val="006B7B"/>
      <w:sz w:val="32"/>
      <w:szCs w:val="26"/>
      <w:lang w:val="es-A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AR"/>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06B7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A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A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lang w:val="es-A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nsolas" w:hAnsi="Consolas" w:cs="Consolas"/>
      <w:sz w:val="19"/>
      <w:szCs w:val="19"/>
      <w:lang w:val="es-AR"/>
    </w:rPr>
  </w:style>
  <w:style w:type="character" w:customStyle="1" w:styleId="MacroTextChar">
    <w:name w:val="Macro Text Char"/>
    <w:basedOn w:val="DefaultParagraphFont"/>
    <w:link w:val="MacroText"/>
    <w:uiPriority w:val="99"/>
    <w:rsid w:val="0029639D"/>
    <w:rPr>
      <w:rFonts w:ascii="Consolas" w:hAnsi="Consolas" w:cs="Consolas"/>
      <w:sz w:val="19"/>
      <w:szCs w:val="19"/>
      <w:lang w:val="es-AR"/>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lang w:val="es-A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A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A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A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A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A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A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lang w:val="es-AR"/>
    </w:rPr>
  </w:style>
  <w:style w:type="character" w:styleId="Emphasis">
    <w:name w:val="Emphasis"/>
    <w:basedOn w:val="DefaultParagraphFont"/>
    <w:uiPriority w:val="20"/>
    <w:qFormat/>
    <w:rsid w:val="00FC693F"/>
    <w:rPr>
      <w:i/>
      <w:iCs/>
      <w:lang w:val="es-A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lang w:val="es-AR"/>
    </w:rPr>
  </w:style>
  <w:style w:type="character" w:styleId="SubtleEmphasis">
    <w:name w:val="Subtle Emphasis"/>
    <w:basedOn w:val="DefaultParagraphFont"/>
    <w:uiPriority w:val="19"/>
    <w:qFormat/>
    <w:rsid w:val="00FC693F"/>
    <w:rPr>
      <w:i/>
      <w:iCs/>
      <w:color w:val="808080" w:themeColor="text1" w:themeTint="7F"/>
      <w:lang w:val="es-AR"/>
    </w:rPr>
  </w:style>
  <w:style w:type="character" w:styleId="IntenseEmphasis">
    <w:name w:val="Intense Emphasis"/>
    <w:basedOn w:val="DefaultParagraphFont"/>
    <w:uiPriority w:val="21"/>
    <w:qFormat/>
    <w:rsid w:val="00FC693F"/>
    <w:rPr>
      <w:b/>
      <w:bCs/>
      <w:i/>
      <w:iCs/>
      <w:color w:val="4F81BD" w:themeColor="accent1"/>
      <w:lang w:val="es-AR"/>
    </w:rPr>
  </w:style>
  <w:style w:type="character" w:styleId="SubtleReference">
    <w:name w:val="Subtle Reference"/>
    <w:basedOn w:val="DefaultParagraphFont"/>
    <w:uiPriority w:val="31"/>
    <w:qFormat/>
    <w:rsid w:val="00FC693F"/>
    <w:rPr>
      <w:smallCaps/>
      <w:color w:val="C0504D" w:themeColor="accent2"/>
      <w:u w:val="single"/>
      <w:lang w:val="es-AR"/>
    </w:rPr>
  </w:style>
  <w:style w:type="character" w:styleId="IntenseReference">
    <w:name w:val="Intense Reference"/>
    <w:basedOn w:val="DefaultParagraphFont"/>
    <w:uiPriority w:val="32"/>
    <w:qFormat/>
    <w:rsid w:val="00FC693F"/>
    <w:rPr>
      <w:b/>
      <w:bCs/>
      <w:smallCaps/>
      <w:color w:val="C0504D" w:themeColor="accent2"/>
      <w:spacing w:val="5"/>
      <w:u w:val="single"/>
      <w:lang w:val="es-AR"/>
    </w:rPr>
  </w:style>
  <w:style w:type="character" w:styleId="BookTitle">
    <w:name w:val="Book Title"/>
    <w:basedOn w:val="DefaultParagraphFont"/>
    <w:uiPriority w:val="33"/>
    <w:qFormat/>
    <w:rsid w:val="00FC693F"/>
    <w:rPr>
      <w:b/>
      <w:bCs/>
      <w:smallCaps/>
      <w:spacing w:val="5"/>
      <w:lang w:val="es-A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es-A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A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AR"/>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AR"/>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AR"/>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AR"/>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AR"/>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AR"/>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AR"/>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AR"/>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AR"/>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AR"/>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AR"/>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A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AR"/>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AR"/>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AR"/>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AR"/>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AR"/>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AR"/>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AR"/>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AR"/>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AR"/>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AR"/>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AR"/>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AR"/>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AR"/>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AR"/>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A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AR"/>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AR"/>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AR"/>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AR"/>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AR"/>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AR"/>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AR"/>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AR"/>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AR"/>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AR"/>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AR"/>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AR"/>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AR"/>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tulo1">
    <w:name w:val="Subtítulo1"/>
    <w:pPr>
      <w:spacing w:before="80" w:after="120"/>
    </w:pPr>
    <w:rPr>
      <w:rFonts w:ascii="Arial" w:hAnsi="Arial"/>
      <w:b/>
      <w:color w:val="213A84"/>
      <w:sz w:val="26"/>
      <w:lang w:val="es-AR"/>
    </w:rPr>
  </w:style>
  <w:style w:type="paragraph" w:customStyle="1" w:styleId="Citaacadmica">
    <w:name w:val="Cita académica"/>
    <w:pPr>
      <w:spacing w:before="80" w:after="120"/>
    </w:pPr>
    <w:rPr>
      <w:rFonts w:ascii="Arial" w:hAnsi="Arial"/>
      <w:i/>
      <w:color w:val="59636E"/>
      <w:sz w:val="20"/>
      <w:lang w:val="es-AR"/>
    </w:rPr>
  </w:style>
  <w:style w:type="paragraph" w:customStyle="1" w:styleId="Epgrafe">
    <w:name w:val="Epígrafe"/>
    <w:pPr>
      <w:spacing w:before="80" w:after="120"/>
    </w:pPr>
    <w:rPr>
      <w:rFonts w:ascii="Arial" w:hAnsi="Arial"/>
      <w:color w:val="59636E"/>
      <w:sz w:val="18"/>
      <w:lang w:val="es-AR"/>
    </w:rPr>
  </w:style>
  <w:style w:type="paragraph" w:customStyle="1" w:styleId="Notadestacada">
    <w:name w:val="Nota destacada"/>
    <w:pPr>
      <w:spacing w:before="80" w:after="120"/>
    </w:pPr>
    <w:rPr>
      <w:rFonts w:ascii="Arial" w:hAnsi="Arial"/>
      <w:b/>
      <w:color w:val="006B7B"/>
      <w:sz w:val="21"/>
      <w:lang w:val="es-AR"/>
    </w:rPr>
  </w:style>
  <w:style w:type="character" w:styleId="Hyperlink">
    <w:name w:val="Hyperlink"/>
    <w:basedOn w:val="DefaultParagraphFont"/>
    <w:uiPriority w:val="99"/>
    <w:unhideWhenUsed/>
    <w:rPr>
      <w:color w:val="006B7B"/>
      <w:u w:val="single"/>
    </w:rPr>
  </w:style>
  <w:style w:type="character" w:styleId="FollowedHyperlink">
    <w:name w:val="FollowedHyperlink"/>
    <w:basedOn w:val="DefaultParagraphFont"/>
    <w:uiPriority w:val="99"/>
    <w:semiHidden/>
    <w:unhideWhenUsed/>
    <w:rsid w:val="007352B1"/>
    <w:rPr>
      <w:color w:val="800080" w:themeColor="followedHyperlink"/>
      <w:u w:val="single"/>
    </w:rPr>
  </w:style>
  <w:style w:type="character" w:styleId="UnresolvedMention">
    <w:name w:val="Unresolved Mention"/>
    <w:basedOn w:val="DefaultParagraphFont"/>
    <w:uiPriority w:val="99"/>
    <w:semiHidden/>
    <w:unhideWhenUsed/>
    <w:rsid w:val="00735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theme" Target="theme/theme1.xml"/><Relationship Id="rId5" Type="http://schemas.openxmlformats.org/officeDocument/2006/relationships/webSettings" Target="webSettings.xml"/><Relationship Id="rId36" Type="http://schemas.openxmlformats.org/officeDocument/2006/relationships/fontTable" Target="fontTable.xml"/><Relationship Id="rId4" Type="http://schemas.openxmlformats.org/officeDocument/2006/relationships/settings" Target="settings.xm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 Id="rId38" Type="http://schemas.openxmlformats.org/officeDocument/2006/relationships/hyperlink" Target="https://github.com/lautarodibartolo-ae/e8102-exploracion-de-datos/tree/main/bloque-5-trabajo-final/datos" TargetMode="External"/><Relationship Id="rId39" Type="http://schemas.openxmlformats.org/officeDocument/2006/relationships/hyperlink" Target="https://github.com/lautarodibartolo-ae/e8102-exploracion-de-datos/blob/main/bloque-5-trabajo-final/datos/factores_de_riesgo_2018.md" TargetMode="External"/><Relationship Id="rId40" Type="http://schemas.openxmlformats.org/officeDocument/2006/relationships/hyperlink" Target="https://github.com/lautarodibartolo-ae/e8102-exploracion-de-datos/blob/main/bloque-5-trabajo-final/datos/agricultura_2022_23.md" TargetMode="External"/><Relationship Id="rId41" Type="http://schemas.openxmlformats.org/officeDocument/2006/relationships/hyperlink" Target="https://github.com/lautarodibartolo-ae/e8102-exploracion-de-datos/blob/main/bloque-5-trabajo-final/datos/arbolado_buenos_aires.md" TargetMode="External"/><Relationship Id="rId42" Type="http://schemas.openxmlformats.org/officeDocument/2006/relationships/hyperlink" Target="https://github.com/lautarodibartolo-ae/e8102-exploracion-de-datos/blob/main/bloque-5-trabajo-final/datos/pinguinos_palmer.md" TargetMode="External"/><Relationship Id="rId43" Type="http://schemas.openxmlformats.org/officeDocument/2006/relationships/hyperlink" Target="https://github.com/lautarodibartolo-ae/e8102-exploracion-de-datos/blob/main/bloque-5-trabajo-final/datos/estudiantes_portugal.md" TargetMode="External"/><Relationship Id="rId44" Type="http://schemas.openxmlformats.org/officeDocument/2006/relationships/hyperlink" Target="https://github.com/lautarodibartolo-ae/e8102-exploracion-de-datos/blob/main/bloque-5-trabajo-final/datos/vinos_portugal.md" TargetMode="External"/><Relationship Id="rId45" Type="http://schemas.openxmlformats.org/officeDocument/2006/relationships/hyperlink" Target="https://github.com/lautarodibartolo-ae/e8102-exploracion-de-datos/blob/main/bloque-5-trabajo-final/datos/corazon_cleveland.md" TargetMode="External"/><Relationship Id="rId46" Type="http://schemas.openxmlformats.org/officeDocument/2006/relationships/hyperlink" Target="https://github.com/lautarodibartolo-ae/e8102-exploracion-de-datos/blob/main/bloque-5-trabajo-final/datos/bicicletas_washington.md" TargetMode="External"/><Relationship Id="rId47" Type="http://schemas.openxmlformats.org/officeDocument/2006/relationships/hyperlink" Target="https://github.com/lautarodibartolo-ae/e8102-exploracion-de-datos/blob/main/bloque-5-trabajo-final/datos/autos_1970_1982.md" TargetMode="External"/><Relationship Id="rId48" Type="http://schemas.openxmlformats.org/officeDocument/2006/relationships/hyperlink" Target="https://github.com/lautarodibartolo-ae/e8102-exploracion-de-datos/blob/main/bloque-5-trabajo-final/datos/README.md" TargetMode="External"/><Relationship Id="rId49" Type="http://schemas.openxmlformats.org/officeDocument/2006/relationships/hyperlink" Target="https://colab.research.google.com/github/lautarodibartolo-ae/e8102-exploracion-de-datos/blob/main/bloque-5-trabajo-final/trabajo_final.ipyn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5120</Words>
  <Characters>29188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dc:title>
  <dc:subject>Asignatura E8102 · Exploración de datos</dc:subject>
  <dc:creator>Especialización en Inteligencia de Datos para la Gestión Estratégica</dc:creator>
  <cp:keywords/>
  <dc:description>generated by python-docx</dc:description>
  <cp:lastModifiedBy>Lautaro Di Bartolo</cp:lastModifiedBy>
  <cp:revision>4</cp:revision>
  <dcterms:created xsi:type="dcterms:W3CDTF">2026-08-19T06:48:00Z</dcterms:created>
  <dcterms:modified xsi:type="dcterms:W3CDTF">2026-08-22T12:29:00Z</dcterms:modified>
  <cp:category/>
</cp:coreProperties>
</file>