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D4AA" w14:textId="52AF27B6" w:rsidR="0030136B" w:rsidRPr="0030136B" w:rsidRDefault="0030136B" w:rsidP="0030136B">
      <w:pPr>
        <w:pStyle w:val="Ttulo1"/>
        <w:jc w:val="center"/>
        <w:rPr>
          <w:rFonts w:ascii="Calibri Light" w:hAnsi="Calibri Light" w:cs="Calibri Light"/>
          <w:b/>
          <w:bCs/>
          <w:color w:val="2E74B5"/>
          <w:sz w:val="32"/>
          <w:szCs w:val="32"/>
        </w:rPr>
      </w:pPr>
      <w:bookmarkStart w:id="0" w:name="_Hlk184797700"/>
      <w:r w:rsidRPr="0030136B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Instructivo para </w:t>
      </w:r>
      <w:r w:rsidR="00EF2EB4">
        <w:rPr>
          <w:rFonts w:ascii="Calibri Light" w:hAnsi="Calibri Light" w:cs="Calibri Light"/>
          <w:b/>
          <w:bCs/>
          <w:color w:val="2E74B5"/>
          <w:sz w:val="32"/>
          <w:szCs w:val="32"/>
        </w:rPr>
        <w:t xml:space="preserve">carga de Bonificaciones </w:t>
      </w:r>
      <w:r w:rsidR="00EF2EB4">
        <w:rPr>
          <w:rFonts w:ascii="Calibri Light" w:hAnsi="Calibri Light" w:cs="Calibri Light"/>
          <w:b/>
          <w:bCs/>
          <w:color w:val="2E74B5"/>
          <w:sz w:val="32"/>
          <w:szCs w:val="32"/>
        </w:rPr>
        <w:br/>
        <w:t>de insumos de farmacia</w:t>
      </w:r>
    </w:p>
    <w:bookmarkEnd w:id="0"/>
    <w:p w14:paraId="5A19441E" w14:textId="12E99221" w:rsidR="0030136B" w:rsidRPr="0030136B" w:rsidRDefault="0030136B" w:rsidP="0030136B">
      <w:pPr>
        <w:rPr>
          <w:rFonts w:ascii="Calibri" w:hAnsi="Calibri" w:cs="Calibri"/>
          <w:color w:val="808080" w:themeColor="background1" w:themeShade="80"/>
        </w:rPr>
      </w:pPr>
      <w:r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Autor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: M. Cano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</w:t>
      </w:r>
      <w:r w:rsidR="00EF2EB4">
        <w:rPr>
          <w:rFonts w:ascii="Calibri" w:hAnsi="Calibri" w:cs="Calibri"/>
          <w:color w:val="808080" w:themeColor="background1" w:themeShade="80"/>
          <w:sz w:val="16"/>
          <w:szCs w:val="16"/>
        </w:rPr>
        <w:t>29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.</w:t>
      </w:r>
      <w:r w:rsidR="00EF2EB4">
        <w:rPr>
          <w:rFonts w:ascii="Calibri" w:hAnsi="Calibri" w:cs="Calibri"/>
          <w:color w:val="808080" w:themeColor="background1" w:themeShade="80"/>
          <w:sz w:val="16"/>
          <w:szCs w:val="16"/>
        </w:rPr>
        <w:t>01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.202</w:t>
      </w:r>
      <w:r w:rsidR="00EF2EB4">
        <w:rPr>
          <w:rFonts w:ascii="Calibri" w:hAnsi="Calibri" w:cs="Calibri"/>
          <w:color w:val="808080" w:themeColor="background1" w:themeShade="80"/>
          <w:sz w:val="16"/>
          <w:szCs w:val="16"/>
        </w:rPr>
        <w:t>5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Actualizado por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 xml:space="preserve"> 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(f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echa</w:t>
      </w:r>
      <w:r w:rsidR="00F443D4">
        <w:rPr>
          <w:rFonts w:ascii="Calibri" w:hAnsi="Calibri" w:cs="Calibri"/>
          <w:color w:val="808080" w:themeColor="background1" w:themeShade="80"/>
          <w:sz w:val="16"/>
          <w:szCs w:val="16"/>
        </w:rPr>
        <w:t>)</w:t>
      </w:r>
      <w:r w:rsidR="00F443D4" w:rsidRPr="0030136B">
        <w:rPr>
          <w:rFonts w:ascii="Calibri" w:hAnsi="Calibri" w:cs="Calibri"/>
          <w:color w:val="808080" w:themeColor="background1" w:themeShade="80"/>
          <w:sz w:val="16"/>
          <w:szCs w:val="16"/>
        </w:rPr>
        <w:t>:</w:t>
      </w:r>
      <w:r w:rsidR="00D55B93">
        <w:rPr>
          <w:rFonts w:ascii="Calibri" w:hAnsi="Calibri" w:cs="Calibri"/>
          <w:color w:val="808080" w:themeColor="background1" w:themeShade="80"/>
          <w:sz w:val="16"/>
          <w:szCs w:val="16"/>
        </w:rPr>
        <w:br/>
      </w:r>
    </w:p>
    <w:p w14:paraId="0C6EFD29" w14:textId="5014EB5A" w:rsidR="00D55B93" w:rsidRPr="00D55B93" w:rsidRDefault="00EF2EB4" w:rsidP="00D55B93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CARGA EN SAP</w:t>
      </w:r>
      <w:r w:rsidR="00D55B93" w:rsidRPr="00D55B93">
        <w:rPr>
          <w:rFonts w:ascii="Calibri" w:hAnsi="Calibri" w:cs="Calibri"/>
        </w:rPr>
        <w:t>:</w:t>
      </w:r>
    </w:p>
    <w:p w14:paraId="43AF6C29" w14:textId="2154B937" w:rsidR="00EF2EB4" w:rsidRDefault="00EF2EB4" w:rsidP="00827F0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Cuando llega un correo (o solicitud por SP) informando bonificación para uno o más insumos de Farmacia (ME y/o DE), se </w:t>
      </w:r>
      <w:r w:rsidR="00DC4FDA">
        <w:rPr>
          <w:rFonts w:ascii="Calibri" w:hAnsi="Calibri" w:cs="Calibri"/>
        </w:rPr>
        <w:t xml:space="preserve">cargará el porcentaje informado </w:t>
      </w:r>
      <w:r>
        <w:rPr>
          <w:rFonts w:ascii="Calibri" w:hAnsi="Calibri" w:cs="Calibri"/>
        </w:rPr>
        <w:t xml:space="preserve">a través de la tx </w:t>
      </w:r>
      <w:r w:rsidRPr="00EF2EB4">
        <w:rPr>
          <w:rFonts w:ascii="Calibri" w:hAnsi="Calibri" w:cs="Calibri"/>
          <w:b/>
          <w:bCs/>
        </w:rPr>
        <w:t>VK11</w:t>
      </w:r>
      <w:r>
        <w:rPr>
          <w:rFonts w:ascii="Calibri" w:hAnsi="Calibri" w:cs="Calibri"/>
        </w:rPr>
        <w:t xml:space="preserve">, seleccionando como “Clase de condición” </w:t>
      </w:r>
      <w:r w:rsidRPr="00EF2EB4">
        <w:rPr>
          <w:rFonts w:ascii="Calibri" w:hAnsi="Calibri" w:cs="Calibri"/>
          <w:b/>
          <w:bCs/>
        </w:rPr>
        <w:t>Z005</w:t>
      </w:r>
      <w:r>
        <w:rPr>
          <w:rFonts w:ascii="Calibri" w:hAnsi="Calibri" w:cs="Calibri"/>
        </w:rPr>
        <w:t>.</w:t>
      </w:r>
    </w:p>
    <w:p w14:paraId="7ED648FB" w14:textId="3720CC15" w:rsidR="00EF2EB4" w:rsidRDefault="00EF2EB4" w:rsidP="00827F06">
      <w:pPr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00420B4A" wp14:editId="40B21EE1">
            <wp:extent cx="4800600" cy="2124075"/>
            <wp:effectExtent l="0" t="0" r="0" b="9525"/>
            <wp:docPr id="10509156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1565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A00F" w14:textId="51DE2589" w:rsidR="00EF2EB4" w:rsidRDefault="00EF2EB4" w:rsidP="00827F06">
      <w:pPr>
        <w:rPr>
          <w:rFonts w:ascii="Calibri" w:hAnsi="Calibri" w:cs="Calibri"/>
        </w:rPr>
      </w:pPr>
      <w:r>
        <w:rPr>
          <w:rFonts w:ascii="Calibri" w:hAnsi="Calibri" w:cs="Calibri"/>
        </w:rPr>
        <w:t>Se seleccionará la combinación correspondiente entre cuentas CEntrales o SUcursales.</w:t>
      </w:r>
    </w:p>
    <w:p w14:paraId="5289E541" w14:textId="16E4D201" w:rsidR="00EF2EB4" w:rsidRPr="00EF2EB4" w:rsidRDefault="00EF2EB4" w:rsidP="00EF2EB4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EF2EB4">
        <w:rPr>
          <w:rFonts w:ascii="Calibri" w:hAnsi="Calibri" w:cs="Calibri"/>
          <w:b/>
          <w:bCs/>
        </w:rPr>
        <w:t>NOTA</w:t>
      </w:r>
      <w:r w:rsidRPr="00EF2EB4">
        <w:rPr>
          <w:rFonts w:ascii="Calibri" w:hAnsi="Calibri" w:cs="Calibri"/>
        </w:rPr>
        <w:t xml:space="preserve">: el procedimiento seguido en los últimos </w:t>
      </w:r>
      <w:r w:rsidR="00DC4FDA" w:rsidRPr="00EF2EB4">
        <w:rPr>
          <w:rFonts w:ascii="Calibri" w:hAnsi="Calibri" w:cs="Calibri"/>
        </w:rPr>
        <w:t>años</w:t>
      </w:r>
      <w:r w:rsidRPr="00EF2EB4">
        <w:rPr>
          <w:rFonts w:ascii="Calibri" w:hAnsi="Calibri" w:cs="Calibri"/>
        </w:rPr>
        <w:t xml:space="preserve"> es cargar por “</w:t>
      </w:r>
      <w:r w:rsidRPr="00DC4FDA">
        <w:rPr>
          <w:rFonts w:ascii="Calibri" w:hAnsi="Calibri" w:cs="Calibri"/>
          <w:b/>
          <w:bCs/>
        </w:rPr>
        <w:t>Prestación</w:t>
      </w:r>
      <w:r w:rsidRPr="00EF2EB4">
        <w:rPr>
          <w:rFonts w:ascii="Calibri" w:hAnsi="Calibri" w:cs="Calibri"/>
        </w:rPr>
        <w:t>”.</w:t>
      </w:r>
      <w:r>
        <w:rPr>
          <w:rFonts w:ascii="Calibri" w:hAnsi="Calibri" w:cs="Calibri"/>
        </w:rPr>
        <w:br/>
      </w:r>
    </w:p>
    <w:p w14:paraId="4D4585C3" w14:textId="1C43447C" w:rsidR="00EF2EB4" w:rsidRPr="00EF2EB4" w:rsidRDefault="00EF2EB4" w:rsidP="00EF2EB4">
      <w:pPr>
        <w:pStyle w:val="Prrafodelista"/>
        <w:numPr>
          <w:ilvl w:val="0"/>
          <w:numId w:val="5"/>
        </w:numPr>
        <w:rPr>
          <w:rFonts w:ascii="Calibri" w:hAnsi="Calibri" w:cs="Calibri"/>
        </w:rPr>
      </w:pPr>
      <w:r w:rsidRPr="00EF2EB4">
        <w:rPr>
          <w:rFonts w:ascii="Calibri" w:hAnsi="Calibri" w:cs="Calibri"/>
          <w:b/>
          <w:bCs/>
        </w:rPr>
        <w:t>NOTA2</w:t>
      </w:r>
      <w:r w:rsidRPr="00EF2EB4">
        <w:rPr>
          <w:rFonts w:ascii="Calibri" w:hAnsi="Calibri" w:cs="Calibri"/>
        </w:rPr>
        <w:t>: para cuentas con más de una barra (SUcursales), se puede cargar directamente como si fuera una cuenta CEntral (/000); las “hijas” tomarán bonificación de la cuenta “madre” (ejemplo MEDIFÉ está cargado como /000 a pesar de que las cuentas son /001 y /003; lo mismo pasa con PSHB).</w:t>
      </w:r>
    </w:p>
    <w:p w14:paraId="02472C4D" w14:textId="5FFF38A1" w:rsidR="00EF2EB4" w:rsidRDefault="00DC4FDA" w:rsidP="00827F06">
      <w:pPr>
        <w:rPr>
          <w:rFonts w:ascii="Calibri" w:hAnsi="Calibri" w:cs="Calibri"/>
        </w:rPr>
      </w:pPr>
      <w:r>
        <w:rPr>
          <w:rFonts w:ascii="Calibri" w:hAnsi="Calibri" w:cs="Calibri"/>
        </w:rPr>
        <w:t>Para la carga de una cantidad significativa de datos (por ejemplo, un nuevo acuerdo con aseguradora) s</w:t>
      </w:r>
      <w:r w:rsidR="00EF2EB4">
        <w:rPr>
          <w:rFonts w:ascii="Calibri" w:hAnsi="Calibri" w:cs="Calibri"/>
        </w:rPr>
        <w:t xml:space="preserve">e utiliza un </w:t>
      </w:r>
      <w:r w:rsidR="00EF2EB4" w:rsidRPr="00DC4FDA">
        <w:rPr>
          <w:rFonts w:ascii="Calibri" w:hAnsi="Calibri" w:cs="Calibri"/>
          <w:b/>
          <w:bCs/>
        </w:rPr>
        <w:t>archivo Excel</w:t>
      </w:r>
      <w:r w:rsidR="00EF2EB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para cada aseguradora, </w:t>
      </w:r>
      <w:r w:rsidR="00EF2EB4">
        <w:rPr>
          <w:rFonts w:ascii="Calibri" w:hAnsi="Calibri" w:cs="Calibri"/>
        </w:rPr>
        <w:t>que contiene los mismos campos de la tx VK11</w:t>
      </w:r>
      <w:r>
        <w:rPr>
          <w:rFonts w:ascii="Calibri" w:hAnsi="Calibri" w:cs="Calibri"/>
        </w:rPr>
        <w:t xml:space="preserve">; esto permite </w:t>
      </w:r>
      <w:r w:rsidR="00EF2EB4">
        <w:rPr>
          <w:rFonts w:ascii="Calibri" w:hAnsi="Calibri" w:cs="Calibri"/>
        </w:rPr>
        <w:t xml:space="preserve">una carga más </w:t>
      </w:r>
      <w:r>
        <w:rPr>
          <w:rFonts w:ascii="Calibri" w:hAnsi="Calibri" w:cs="Calibri"/>
        </w:rPr>
        <w:t>eficiente</w:t>
      </w:r>
      <w:r w:rsidR="00EF2EB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además de dejar</w:t>
      </w:r>
      <w:r w:rsidR="00EF2EB4">
        <w:rPr>
          <w:rFonts w:ascii="Calibri" w:hAnsi="Calibri" w:cs="Calibri"/>
        </w:rPr>
        <w:t xml:space="preserve"> un registro de lo cargado </w:t>
      </w:r>
      <w:r>
        <w:rPr>
          <w:rFonts w:ascii="Calibri" w:hAnsi="Calibri" w:cs="Calibri"/>
        </w:rPr>
        <w:t xml:space="preserve">para futuras consultas </w:t>
      </w:r>
      <w:r w:rsidR="00EF2EB4">
        <w:rPr>
          <w:rFonts w:ascii="Calibri" w:hAnsi="Calibri" w:cs="Calibri"/>
        </w:rPr>
        <w:t>(</w:t>
      </w:r>
      <w:r w:rsidR="00EF2EB4" w:rsidRPr="00DC4FDA">
        <w:rPr>
          <w:rFonts w:ascii="Calibri" w:hAnsi="Calibri" w:cs="Calibri"/>
          <w:i/>
          <w:iCs/>
        </w:rPr>
        <w:t>est</w:t>
      </w:r>
      <w:r w:rsidRPr="00DC4FDA">
        <w:rPr>
          <w:rFonts w:ascii="Calibri" w:hAnsi="Calibri" w:cs="Calibri"/>
          <w:i/>
          <w:iCs/>
        </w:rPr>
        <w:t xml:space="preserve">a tarea puede cambiar cuando </w:t>
      </w:r>
      <w:r w:rsidR="00EF2EB4" w:rsidRPr="00DC4FDA">
        <w:rPr>
          <w:rFonts w:ascii="Calibri" w:hAnsi="Calibri" w:cs="Calibri"/>
          <w:i/>
          <w:iCs/>
        </w:rPr>
        <w:t xml:space="preserve">tengamos en PRD </w:t>
      </w:r>
      <w:r w:rsidRPr="00DC4FDA">
        <w:rPr>
          <w:rFonts w:ascii="Calibri" w:hAnsi="Calibri" w:cs="Calibri"/>
          <w:i/>
          <w:iCs/>
        </w:rPr>
        <w:t>el</w:t>
      </w:r>
      <w:r w:rsidR="00EF2EB4" w:rsidRPr="00DC4FDA">
        <w:rPr>
          <w:rFonts w:ascii="Calibri" w:hAnsi="Calibri" w:cs="Calibri"/>
          <w:i/>
          <w:iCs/>
        </w:rPr>
        <w:t xml:space="preserve"> reporte </w:t>
      </w:r>
      <w:r w:rsidRPr="00DC4FDA">
        <w:rPr>
          <w:rFonts w:ascii="Calibri" w:hAnsi="Calibri" w:cs="Calibri"/>
          <w:i/>
          <w:iCs/>
        </w:rPr>
        <w:t>de bonificaciones</w:t>
      </w:r>
      <w:r w:rsidR="00EF2EB4">
        <w:rPr>
          <w:rFonts w:ascii="Calibri" w:hAnsi="Calibri" w:cs="Calibri"/>
        </w:rPr>
        <w:t>).</w:t>
      </w:r>
    </w:p>
    <w:p w14:paraId="58FD0A6B" w14:textId="2CBB0DED" w:rsidR="006D6450" w:rsidRDefault="00EF2EB4" w:rsidP="00557365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E84BF6">
        <w:rPr>
          <w:rFonts w:ascii="Calibri" w:hAnsi="Calibri" w:cs="Calibri"/>
          <w:b/>
          <w:bCs/>
        </w:rPr>
        <w:t>NOTA</w:t>
      </w:r>
      <w:r w:rsidR="00E84BF6" w:rsidRPr="00E84BF6">
        <w:rPr>
          <w:rFonts w:ascii="Calibri" w:hAnsi="Calibri" w:cs="Calibri"/>
          <w:b/>
          <w:bCs/>
        </w:rPr>
        <w:t xml:space="preserve"> 3</w:t>
      </w:r>
      <w:r w:rsidRPr="006D6450">
        <w:rPr>
          <w:rFonts w:ascii="Calibri" w:hAnsi="Calibri" w:cs="Calibri"/>
        </w:rPr>
        <w:t xml:space="preserve">: los archivos están compartidos en la carpeta </w:t>
      </w:r>
      <w:hyperlink r:id="rId8" w:history="1">
        <w:r w:rsidR="006D6450" w:rsidRPr="006D6450">
          <w:rPr>
            <w:rStyle w:val="Hipervnculo"/>
            <w:rFonts w:ascii="Calibri" w:hAnsi="Calibri" w:cs="Calibri"/>
          </w:rPr>
          <w:t>\\srv-nas02-hbc\DCA\Administracion de Convenios\FARMACIA\BONIFICACIONES</w:t>
        </w:r>
      </w:hyperlink>
    </w:p>
    <w:p w14:paraId="2F906500" w14:textId="692A53D9" w:rsidR="0091699D" w:rsidRDefault="00DC4FDA" w:rsidP="00827F06">
      <w:pPr>
        <w:rPr>
          <w:rFonts w:ascii="Calibri" w:hAnsi="Calibri" w:cs="Calibri"/>
        </w:rPr>
      </w:pPr>
      <w:r>
        <w:rPr>
          <w:rFonts w:ascii="Calibri" w:hAnsi="Calibri" w:cs="Calibri"/>
        </w:rPr>
        <w:br/>
        <w:t xml:space="preserve">Ya en la VK11 &gt; Z005 </w:t>
      </w:r>
      <w:r w:rsidR="0091699D">
        <w:rPr>
          <w:rFonts w:ascii="Calibri" w:hAnsi="Calibri" w:cs="Calibri"/>
        </w:rPr>
        <w:t xml:space="preserve">se </w:t>
      </w:r>
      <w:r>
        <w:rPr>
          <w:rFonts w:ascii="Calibri" w:hAnsi="Calibri" w:cs="Calibri"/>
        </w:rPr>
        <w:t>ingresan los siguientes datos:</w:t>
      </w:r>
    </w:p>
    <w:p w14:paraId="0EEDC194" w14:textId="7044AA7C" w:rsidR="00E84BF6" w:rsidRDefault="00E84BF6" w:rsidP="00827F06">
      <w:pPr>
        <w:rPr>
          <w:rFonts w:ascii="Calibri" w:hAnsi="Calibri" w:cs="Calibr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54D3E00" wp14:editId="1495BD19">
            <wp:extent cx="5490845" cy="1827530"/>
            <wp:effectExtent l="0" t="0" r="0" b="1270"/>
            <wp:docPr id="1164984922" name="Imagen 1" descr="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84922" name="Imagen 1" descr="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5B05" w14:textId="77777777" w:rsidR="0091699D" w:rsidRDefault="0091699D" w:rsidP="0091699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DC4FDA">
        <w:rPr>
          <w:rFonts w:ascii="Calibri" w:hAnsi="Calibri" w:cs="Calibri"/>
          <w:b/>
          <w:bCs/>
        </w:rPr>
        <w:t>Centro</w:t>
      </w:r>
      <w:r>
        <w:rPr>
          <w:rFonts w:ascii="Calibri" w:hAnsi="Calibri" w:cs="Calibri"/>
        </w:rPr>
        <w:t>: HBC</w:t>
      </w:r>
    </w:p>
    <w:p w14:paraId="3DD080E4" w14:textId="24033EB9" w:rsidR="0091699D" w:rsidRDefault="0091699D" w:rsidP="0091699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DC4FDA">
        <w:rPr>
          <w:rFonts w:ascii="Calibri" w:hAnsi="Calibri" w:cs="Calibri"/>
          <w:b/>
          <w:bCs/>
        </w:rPr>
        <w:t>Clase de Facturación</w:t>
      </w:r>
      <w:r>
        <w:rPr>
          <w:rFonts w:ascii="Calibri" w:hAnsi="Calibri" w:cs="Calibri"/>
        </w:rPr>
        <w:t xml:space="preserve">: FA y FI (solo </w:t>
      </w:r>
      <w:r w:rsidR="00074FCA">
        <w:rPr>
          <w:rFonts w:ascii="Calibri" w:hAnsi="Calibri" w:cs="Calibri"/>
        </w:rPr>
        <w:t xml:space="preserve">para </w:t>
      </w:r>
      <w:r>
        <w:rPr>
          <w:rFonts w:ascii="Calibri" w:hAnsi="Calibri" w:cs="Calibri"/>
        </w:rPr>
        <w:t xml:space="preserve">algunos casos especiales </w:t>
      </w:r>
      <w:r w:rsidR="00074FCA">
        <w:rPr>
          <w:rFonts w:ascii="Calibri" w:hAnsi="Calibri" w:cs="Calibri"/>
        </w:rPr>
        <w:t xml:space="preserve">puede haber </w:t>
      </w:r>
      <w:r>
        <w:rPr>
          <w:rFonts w:ascii="Calibri" w:hAnsi="Calibri" w:cs="Calibri"/>
        </w:rPr>
        <w:t>FG)</w:t>
      </w:r>
    </w:p>
    <w:p w14:paraId="2ED9F8CC" w14:textId="79CA40EA" w:rsidR="0091699D" w:rsidRDefault="0091699D" w:rsidP="0091699D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DC4FDA">
        <w:rPr>
          <w:rFonts w:ascii="Calibri" w:hAnsi="Calibri" w:cs="Calibri"/>
          <w:b/>
          <w:bCs/>
        </w:rPr>
        <w:t>Aseguradora</w:t>
      </w:r>
      <w:r>
        <w:rPr>
          <w:rFonts w:ascii="Calibri" w:hAnsi="Calibri" w:cs="Calibri"/>
        </w:rPr>
        <w:t>: la que corresponda</w:t>
      </w:r>
      <w:r w:rsidR="00DC4FDA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siguiendo lo mencionado en la NOTA 2 arriba</w:t>
      </w:r>
      <w:r w:rsidR="00DC4FDA">
        <w:rPr>
          <w:rFonts w:ascii="Calibri" w:hAnsi="Calibri" w:cs="Calibri"/>
        </w:rPr>
        <w:t>)</w:t>
      </w:r>
    </w:p>
    <w:p w14:paraId="13A6538B" w14:textId="73F71555" w:rsidR="0091699D" w:rsidRPr="00DC4FDA" w:rsidRDefault="00DC4FDA" w:rsidP="00DC4FDA">
      <w:pPr>
        <w:rPr>
          <w:rFonts w:ascii="Calibri" w:hAnsi="Calibri" w:cs="Calibri"/>
        </w:rPr>
      </w:pPr>
      <w:r>
        <w:rPr>
          <w:rFonts w:ascii="Calibri" w:hAnsi="Calibri" w:cs="Calibri"/>
        </w:rPr>
        <w:t>La carga puede realizarse manualmente (dato por dato) o con e</w:t>
      </w:r>
      <w:r w:rsidR="0091699D" w:rsidRPr="00DC4FDA">
        <w:rPr>
          <w:rFonts w:ascii="Calibri" w:hAnsi="Calibri" w:cs="Calibri"/>
        </w:rPr>
        <w:t xml:space="preserve">l método de carga </w:t>
      </w:r>
      <w:r>
        <w:rPr>
          <w:rFonts w:ascii="Calibri" w:hAnsi="Calibri" w:cs="Calibri"/>
        </w:rPr>
        <w:t xml:space="preserve">mediante el archivo Excel, copiando y pegando </w:t>
      </w:r>
      <w:r w:rsidR="0091699D" w:rsidRPr="00DC4FDA">
        <w:rPr>
          <w:rFonts w:ascii="Calibri" w:hAnsi="Calibri" w:cs="Calibri"/>
          <w:b/>
          <w:bCs/>
        </w:rPr>
        <w:t>pantalla por pantalla</w:t>
      </w:r>
      <w:r w:rsidR="0091699D" w:rsidRPr="00DC4FDA">
        <w:rPr>
          <w:rFonts w:ascii="Calibri" w:hAnsi="Calibri" w:cs="Calibri"/>
        </w:rPr>
        <w:t>, tantos insumos como se hayan enviado en el archivo de Comercial (</w:t>
      </w:r>
      <w:r w:rsidR="0091699D" w:rsidRPr="00DC4FDA">
        <w:rPr>
          <w:rFonts w:ascii="Calibri" w:hAnsi="Calibri" w:cs="Calibri"/>
          <w:i/>
          <w:iCs/>
        </w:rPr>
        <w:t>pronto se reempla</w:t>
      </w:r>
      <w:r w:rsidRPr="00DC4FDA">
        <w:rPr>
          <w:rFonts w:ascii="Calibri" w:hAnsi="Calibri" w:cs="Calibri"/>
          <w:i/>
          <w:iCs/>
        </w:rPr>
        <w:t>za</w:t>
      </w:r>
      <w:r w:rsidR="0091699D" w:rsidRPr="00DC4FDA">
        <w:rPr>
          <w:rFonts w:ascii="Calibri" w:hAnsi="Calibri" w:cs="Calibri"/>
          <w:i/>
          <w:iCs/>
        </w:rPr>
        <w:t>rá este procedimiento por un batch-imput</w:t>
      </w:r>
      <w:r w:rsidR="0091699D" w:rsidRPr="00DC4FDA">
        <w:rPr>
          <w:rFonts w:ascii="Calibri" w:hAnsi="Calibri" w:cs="Calibri"/>
        </w:rPr>
        <w:t>).</w:t>
      </w:r>
    </w:p>
    <w:p w14:paraId="4C1468C7" w14:textId="34D1B7D8" w:rsidR="0091699D" w:rsidRPr="00DC4FDA" w:rsidRDefault="0091699D" w:rsidP="00DC4FDA">
      <w:pPr>
        <w:rPr>
          <w:rFonts w:ascii="Calibri" w:hAnsi="Calibri" w:cs="Calibri"/>
        </w:rPr>
      </w:pPr>
      <w:r w:rsidRPr="00DC4FDA">
        <w:rPr>
          <w:rFonts w:ascii="Calibri" w:hAnsi="Calibri" w:cs="Calibri"/>
        </w:rPr>
        <w:t>Una vez cargadas todas las líneas (pantalla por pantalla), se graba y se procede a la carga de la otra Clase de facturación</w:t>
      </w:r>
      <w:r w:rsidR="00DC4FDA">
        <w:rPr>
          <w:rFonts w:ascii="Calibri" w:hAnsi="Calibri" w:cs="Calibri"/>
        </w:rPr>
        <w:t xml:space="preserve"> (FI o FA).</w:t>
      </w:r>
    </w:p>
    <w:p w14:paraId="38A5CBF7" w14:textId="0260986D" w:rsidR="00382702" w:rsidRDefault="00DC4FDA" w:rsidP="00382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Para </w:t>
      </w:r>
      <w:r w:rsidRPr="00DC4FDA">
        <w:rPr>
          <w:rFonts w:ascii="Calibri" w:hAnsi="Calibri" w:cs="Calibri"/>
          <w:b/>
          <w:bCs/>
        </w:rPr>
        <w:t>chequear</w:t>
      </w:r>
      <w:r>
        <w:rPr>
          <w:rFonts w:ascii="Calibri" w:hAnsi="Calibri" w:cs="Calibri"/>
        </w:rPr>
        <w:t xml:space="preserve"> la cantidad de líneas cargadas se puede ingresar a la tx </w:t>
      </w:r>
      <w:r w:rsidRPr="00DC4FDA">
        <w:rPr>
          <w:rFonts w:ascii="Calibri" w:hAnsi="Calibri" w:cs="Calibri"/>
          <w:b/>
          <w:bCs/>
        </w:rPr>
        <w:t>VK13</w:t>
      </w:r>
      <w:r>
        <w:rPr>
          <w:rFonts w:ascii="Calibri" w:hAnsi="Calibri" w:cs="Calibri"/>
        </w:rPr>
        <w:t xml:space="preserve"> &gt; Z005 completando los datos correspondientes y dejando vacío el campo Prestación.</w:t>
      </w:r>
    </w:p>
    <w:p w14:paraId="5B8835FD" w14:textId="7AFC2661" w:rsidR="00DC4FDA" w:rsidRDefault="00DC4FDA" w:rsidP="00382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 fuera necesario </w:t>
      </w:r>
      <w:r w:rsidRPr="00DC4FDA">
        <w:rPr>
          <w:rFonts w:ascii="Calibri" w:hAnsi="Calibri" w:cs="Calibri"/>
          <w:b/>
          <w:bCs/>
        </w:rPr>
        <w:t>modificar</w:t>
      </w:r>
      <w:r>
        <w:rPr>
          <w:rFonts w:ascii="Calibri" w:hAnsi="Calibri" w:cs="Calibri"/>
        </w:rPr>
        <w:t xml:space="preserve"> algún porcentaje, se puede ingresar desde la tx </w:t>
      </w:r>
      <w:r w:rsidRPr="00DC4FDA">
        <w:rPr>
          <w:rFonts w:ascii="Calibri" w:hAnsi="Calibri" w:cs="Calibri"/>
          <w:b/>
          <w:bCs/>
        </w:rPr>
        <w:t>VK12</w:t>
      </w:r>
      <w:r>
        <w:rPr>
          <w:rFonts w:ascii="Calibri" w:hAnsi="Calibri" w:cs="Calibri"/>
        </w:rPr>
        <w:t xml:space="preserve"> &gt; Z005 completando los datos de Clase, Aseguradora y de la prestación que se necesite ajustar.</w:t>
      </w:r>
      <w:r w:rsidR="001C1A2A">
        <w:rPr>
          <w:rFonts w:ascii="Calibri" w:hAnsi="Calibri" w:cs="Calibri"/>
        </w:rPr>
        <w:br/>
      </w:r>
    </w:p>
    <w:p w14:paraId="629A3914" w14:textId="6FFB700D" w:rsidR="001C1A2A" w:rsidRPr="00D55B93" w:rsidRDefault="001C1A2A" w:rsidP="001C1A2A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FIN DE VIGENCIA DE UNA BONIFICACIÓN</w:t>
      </w:r>
      <w:r w:rsidRPr="00D55B93">
        <w:rPr>
          <w:rFonts w:ascii="Calibri" w:hAnsi="Calibri" w:cs="Calibri"/>
        </w:rPr>
        <w:t>:</w:t>
      </w:r>
    </w:p>
    <w:p w14:paraId="5CA76A8B" w14:textId="2B75466C" w:rsidR="001C1A2A" w:rsidRDefault="001C1A2A" w:rsidP="00382702">
      <w:pPr>
        <w:rPr>
          <w:noProof/>
          <w14:ligatures w14:val="standardContextual"/>
        </w:rPr>
      </w:pPr>
      <w:r>
        <w:rPr>
          <w:rFonts w:ascii="Calibri" w:hAnsi="Calibri" w:cs="Calibri"/>
        </w:rPr>
        <w:t xml:space="preserve">Si informan un nuevo acuerdo que reemplaza a todo lo cargado previamente, conviene vencer la carga anterior y efectuar una carga nueva. </w:t>
      </w:r>
      <w:r w:rsidR="00916E70">
        <w:rPr>
          <w:rFonts w:ascii="Calibri" w:hAnsi="Calibri" w:cs="Calibri"/>
        </w:rPr>
        <w:br/>
      </w:r>
      <w:r w:rsidR="00916E70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Para ello se deberá ingresar a la tx </w:t>
      </w:r>
      <w:r>
        <w:rPr>
          <w:rFonts w:ascii="Calibri" w:hAnsi="Calibri" w:cs="Calibri"/>
          <w:b/>
          <w:bCs/>
        </w:rPr>
        <w:t xml:space="preserve">VK12 </w:t>
      </w:r>
      <w:r>
        <w:rPr>
          <w:rFonts w:ascii="Calibri" w:hAnsi="Calibri" w:cs="Calibri"/>
        </w:rPr>
        <w:t xml:space="preserve">&gt; Z005 asegurándose de </w:t>
      </w:r>
      <w:r w:rsidR="00916E70">
        <w:rPr>
          <w:rFonts w:ascii="Calibri" w:hAnsi="Calibri" w:cs="Calibri"/>
        </w:rPr>
        <w:t>indicar</w:t>
      </w:r>
      <w:r w:rsidRPr="001C1A2A">
        <w:rPr>
          <w:rFonts w:ascii="Calibri" w:hAnsi="Calibri" w:cs="Calibri"/>
          <w:b/>
          <w:bCs/>
        </w:rPr>
        <w:t xml:space="preserve"> la combinación correspondiente</w:t>
      </w:r>
      <w:r>
        <w:rPr>
          <w:rFonts w:ascii="Calibri" w:hAnsi="Calibri" w:cs="Calibri"/>
        </w:rPr>
        <w:t xml:space="preserve"> (CE-SU)</w:t>
      </w:r>
      <w:r w:rsidR="00916E7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seleccionando Clase, Aseguradora y dejando vacío el campo Prestación.</w:t>
      </w:r>
      <w:r w:rsidR="00916E70">
        <w:rPr>
          <w:rFonts w:ascii="Calibri" w:hAnsi="Calibri" w:cs="Calibri"/>
        </w:rPr>
        <w:br/>
      </w:r>
      <w:r w:rsidR="00916E70">
        <w:rPr>
          <w:rFonts w:ascii="Calibri" w:hAnsi="Calibri" w:cs="Calibri"/>
        </w:rPr>
        <w:br/>
      </w:r>
      <w:r>
        <w:rPr>
          <w:noProof/>
          <w14:ligatures w14:val="standardContextual"/>
        </w:rPr>
        <w:drawing>
          <wp:inline distT="0" distB="0" distL="0" distR="0" wp14:anchorId="39DF5834" wp14:editId="7A41054D">
            <wp:extent cx="3603559" cy="2095500"/>
            <wp:effectExtent l="0" t="0" r="0" b="0"/>
            <wp:docPr id="4214816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81658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150" cy="20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561A" w14:textId="77777777" w:rsidR="001C1A2A" w:rsidRDefault="001C1A2A" w:rsidP="00382702">
      <w:pPr>
        <w:rPr>
          <w:noProof/>
          <w14:ligatures w14:val="standardContextual"/>
        </w:rPr>
      </w:pPr>
    </w:p>
    <w:p w14:paraId="5C8F0841" w14:textId="6092C610" w:rsidR="001C1A2A" w:rsidRDefault="001C1A2A" w:rsidP="001C1A2A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1C1A2A">
        <w:rPr>
          <w:rFonts w:ascii="Calibri" w:hAnsi="Calibri" w:cs="Calibri"/>
        </w:rPr>
        <w:t xml:space="preserve">Con el botón de </w:t>
      </w:r>
      <w:r w:rsidR="00EA6402" w:rsidRPr="00EA6402">
        <w:rPr>
          <w:rFonts w:ascii="Calibri" w:hAnsi="Calibri" w:cs="Calibri"/>
          <w:b/>
          <w:bCs/>
        </w:rPr>
        <w:t>MARCAR TODO</w:t>
      </w:r>
      <w:r w:rsidRPr="001C1A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(en círculo azul) </w:t>
      </w:r>
      <w:r w:rsidRPr="001C1A2A">
        <w:rPr>
          <w:rFonts w:ascii="Calibri" w:hAnsi="Calibri" w:cs="Calibri"/>
        </w:rPr>
        <w:t xml:space="preserve">se </w:t>
      </w:r>
      <w:r w:rsidR="00EA6402">
        <w:rPr>
          <w:rFonts w:ascii="Calibri" w:hAnsi="Calibri" w:cs="Calibri"/>
        </w:rPr>
        <w:t>seleccionan to</w:t>
      </w:r>
      <w:r w:rsidRPr="001C1A2A">
        <w:rPr>
          <w:rFonts w:ascii="Calibri" w:hAnsi="Calibri" w:cs="Calibri"/>
        </w:rPr>
        <w:t>das las bonificaciones vigentes</w:t>
      </w:r>
      <w:r>
        <w:rPr>
          <w:rFonts w:ascii="Calibri" w:hAnsi="Calibri" w:cs="Calibri"/>
        </w:rPr>
        <w:t>.</w:t>
      </w:r>
      <w:r w:rsidR="008D5526">
        <w:rPr>
          <w:rFonts w:ascii="Calibri" w:hAnsi="Calibri" w:cs="Calibri"/>
        </w:rPr>
        <w:br/>
      </w:r>
    </w:p>
    <w:p w14:paraId="5C393883" w14:textId="3A67F4D9" w:rsidR="001C1A2A" w:rsidRDefault="001C1A2A" w:rsidP="001C1A2A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 el botón de </w:t>
      </w:r>
      <w:r w:rsidR="00B12390" w:rsidRPr="00B12390">
        <w:rPr>
          <w:rFonts w:ascii="Calibri" w:hAnsi="Calibri" w:cs="Calibri"/>
          <w:b/>
          <w:bCs/>
        </w:rPr>
        <w:t>MODIF.VALIDEZ</w:t>
      </w:r>
      <w:r>
        <w:rPr>
          <w:rFonts w:ascii="Calibri" w:hAnsi="Calibri" w:cs="Calibri"/>
        </w:rPr>
        <w:t xml:space="preserve"> (en círculo rojo) se indicará la fecha final de la vigencia (por ej. si el nuevo acuerdo comienza el 01.02.2025 el valor final será 31.01.2025</w:t>
      </w:r>
      <w:r w:rsidR="00EA6402">
        <w:rPr>
          <w:rFonts w:ascii="Calibri" w:hAnsi="Calibri" w:cs="Calibri"/>
        </w:rPr>
        <w:t>).</w:t>
      </w:r>
      <w:r w:rsidR="00EA6402">
        <w:rPr>
          <w:rFonts w:ascii="Calibri" w:hAnsi="Calibri" w:cs="Calibri"/>
        </w:rPr>
        <w:br/>
      </w:r>
    </w:p>
    <w:p w14:paraId="47908751" w14:textId="1AF6EA27" w:rsidR="00EA6402" w:rsidRPr="00EA6402" w:rsidRDefault="00EA6402" w:rsidP="00EA6402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D81A2C7" wp14:editId="6BD45A55">
            <wp:extent cx="5490845" cy="353060"/>
            <wp:effectExtent l="0" t="0" r="0" b="8890"/>
            <wp:docPr id="789183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83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F1F" w14:textId="6F1FD7F7" w:rsidR="001C1A2A" w:rsidRDefault="00EA6402" w:rsidP="00EA6402">
      <w:pPr>
        <w:ind w:left="360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33AD1B7D" wp14:editId="14337BD4">
            <wp:extent cx="4690745" cy="3595496"/>
            <wp:effectExtent l="0" t="0" r="0" b="5080"/>
            <wp:docPr id="13516778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7787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551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E7D0" w14:textId="2E8501A6" w:rsidR="00EA6402" w:rsidRDefault="00EA6402" w:rsidP="00EA640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Una vez indicada la Validez final, botón </w:t>
      </w:r>
      <w:r w:rsidRPr="00EA6402">
        <w:rPr>
          <w:rFonts w:ascii="Calibri" w:hAnsi="Calibri" w:cs="Calibri"/>
          <w:b/>
          <w:bCs/>
        </w:rPr>
        <w:t>TOMAR FECHA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y grabar.</w:t>
      </w:r>
    </w:p>
    <w:p w14:paraId="05C1F852" w14:textId="4626C164" w:rsidR="00EA6402" w:rsidRDefault="00EA6402" w:rsidP="00EA6402">
      <w:pPr>
        <w:rPr>
          <w:rFonts w:ascii="Calibri" w:hAnsi="Calibri" w:cs="Calibri"/>
        </w:rPr>
      </w:pPr>
      <w:r>
        <w:rPr>
          <w:rFonts w:ascii="Calibri" w:hAnsi="Calibri" w:cs="Calibri"/>
        </w:rPr>
        <w:t>Se puede chequear la modificación ingresando a la tx VK13 &gt; Z005 con las combinaciones y campos correspondientes:</w:t>
      </w:r>
    </w:p>
    <w:p w14:paraId="782B813E" w14:textId="1E6F1FC7" w:rsidR="00EA6402" w:rsidRDefault="00EA6402" w:rsidP="00EA640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Ingresando una </w:t>
      </w:r>
      <w:r w:rsidRPr="00916E70">
        <w:rPr>
          <w:rFonts w:ascii="Calibri" w:hAnsi="Calibri" w:cs="Calibri"/>
          <w:b/>
          <w:bCs/>
        </w:rPr>
        <w:t>fecha previa</w:t>
      </w:r>
      <w:r>
        <w:rPr>
          <w:rFonts w:ascii="Calibri" w:hAnsi="Calibri" w:cs="Calibri"/>
        </w:rPr>
        <w:t xml:space="preserve"> al fin de vigencia indicado arriba, deben aparecer los datos </w:t>
      </w:r>
      <w:r w:rsidR="00916E70">
        <w:rPr>
          <w:rFonts w:ascii="Calibri" w:hAnsi="Calibri" w:cs="Calibri"/>
        </w:rPr>
        <w:t xml:space="preserve">cargados anteriormente </w:t>
      </w:r>
      <w:r>
        <w:rPr>
          <w:rFonts w:ascii="Calibri" w:hAnsi="Calibri" w:cs="Calibri"/>
        </w:rPr>
        <w:t>(por ej con fecha 30.01.2025).</w:t>
      </w:r>
      <w:r w:rsidR="00916E70">
        <w:rPr>
          <w:rFonts w:ascii="Calibri" w:hAnsi="Calibri" w:cs="Calibri"/>
        </w:rPr>
        <w:br/>
      </w:r>
    </w:p>
    <w:p w14:paraId="6E3416D9" w14:textId="2C84D5F9" w:rsidR="00EA6402" w:rsidRDefault="00EA6402" w:rsidP="00EA6402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Ingresando una </w:t>
      </w:r>
      <w:r w:rsidRPr="00916E70">
        <w:rPr>
          <w:rFonts w:ascii="Calibri" w:hAnsi="Calibri" w:cs="Calibri"/>
          <w:b/>
          <w:bCs/>
        </w:rPr>
        <w:t>fecha posterior</w:t>
      </w:r>
      <w:r>
        <w:rPr>
          <w:rFonts w:ascii="Calibri" w:hAnsi="Calibri" w:cs="Calibri"/>
        </w:rPr>
        <w:t xml:space="preserve"> al fin de vigencia indicado arriba, no debe aparecer ningún dato (por ej con fecha 01.02.2025).</w:t>
      </w:r>
    </w:p>
    <w:p w14:paraId="530D812A" w14:textId="7AA94E69" w:rsidR="00EA6402" w:rsidRPr="00EA6402" w:rsidRDefault="00EA6402" w:rsidP="00EA6402">
      <w:pPr>
        <w:rPr>
          <w:rFonts w:ascii="Calibri" w:hAnsi="Calibri" w:cs="Calibri"/>
        </w:rPr>
      </w:pPr>
      <w:r>
        <w:rPr>
          <w:rFonts w:ascii="Calibri" w:hAnsi="Calibri" w:cs="Calibri"/>
        </w:rPr>
        <w:t>Una vez realizado este paso para las 2 Clases de facturación (FA o FI), se puede cargar el nuevo acuerdo (con vigencia que no coincida con las fechas vencidas) de la misma manera que se indica en el punto 1.</w:t>
      </w:r>
      <w:r>
        <w:rPr>
          <w:rFonts w:ascii="Calibri" w:hAnsi="Calibri" w:cs="Calibri"/>
        </w:rPr>
        <w:br/>
      </w:r>
    </w:p>
    <w:p w14:paraId="3970ED89" w14:textId="2BEFA83D" w:rsidR="00EA6402" w:rsidRPr="00D55B93" w:rsidRDefault="00EA6402" w:rsidP="00EA6402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ELIMINACIÓN DE BONIFICACIONES</w:t>
      </w:r>
      <w:r w:rsidRPr="00D55B93">
        <w:rPr>
          <w:rFonts w:ascii="Calibri" w:hAnsi="Calibri" w:cs="Calibri"/>
        </w:rPr>
        <w:t>:</w:t>
      </w:r>
    </w:p>
    <w:p w14:paraId="7CF00705" w14:textId="3AB0F679" w:rsidR="00382702" w:rsidRDefault="00EA6402" w:rsidP="003827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Si en lugar de un nuevo acuerdo, lo que se quiere es eliminar </w:t>
      </w:r>
      <w:r w:rsidR="00916E70">
        <w:rPr>
          <w:rFonts w:ascii="Calibri" w:hAnsi="Calibri" w:cs="Calibri"/>
        </w:rPr>
        <w:t>todas</w:t>
      </w:r>
      <w:r>
        <w:rPr>
          <w:rFonts w:ascii="Calibri" w:hAnsi="Calibri" w:cs="Calibri"/>
        </w:rPr>
        <w:t xml:space="preserve"> las bonificaciones cargadas (ingresadas por error, porque se canceló un acuerdo</w:t>
      </w:r>
      <w:r w:rsidR="00B12390">
        <w:rPr>
          <w:rFonts w:ascii="Calibri" w:hAnsi="Calibri" w:cs="Calibri"/>
        </w:rPr>
        <w:t>, etc), se procederá de la siguiente manera:</w:t>
      </w:r>
    </w:p>
    <w:p w14:paraId="02E9DD31" w14:textId="643B0B7F" w:rsidR="00B12390" w:rsidRDefault="00B12390" w:rsidP="00B12390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1ro- seguir todos los pasos del punto 2 (fin de vigencia)</w:t>
      </w:r>
    </w:p>
    <w:p w14:paraId="6F8C7E94" w14:textId="2422FABE" w:rsidR="00B12390" w:rsidRDefault="00B12390" w:rsidP="00B12390">
      <w:pPr>
        <w:rPr>
          <w:rFonts w:ascii="Calibri" w:hAnsi="Calibri" w:cs="Calibri"/>
        </w:rPr>
      </w:pPr>
      <w:r>
        <w:rPr>
          <w:rFonts w:ascii="Calibri" w:hAnsi="Calibri" w:cs="Calibri"/>
        </w:rPr>
        <w:t>2do- ingresar nuevamente a la VK12 &gt; Z005 asegurándose de indicar</w:t>
      </w:r>
      <w:r w:rsidRPr="001C1A2A">
        <w:rPr>
          <w:rFonts w:ascii="Calibri" w:hAnsi="Calibri" w:cs="Calibri"/>
          <w:b/>
          <w:bCs/>
        </w:rPr>
        <w:t xml:space="preserve"> la combinación correspondiente</w:t>
      </w:r>
      <w:r>
        <w:rPr>
          <w:rFonts w:ascii="Calibri" w:hAnsi="Calibri" w:cs="Calibri"/>
        </w:rPr>
        <w:t xml:space="preserve"> (CE-SU) y seleccionando Clase, Aseguradora y dejando vacío el campo Prestación (a menos que quiera vencerse 1 o más prestaciones específicas).</w:t>
      </w:r>
    </w:p>
    <w:p w14:paraId="15DB0101" w14:textId="0116C0C1" w:rsidR="00B12390" w:rsidRDefault="00B12390" w:rsidP="00B1239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Nuevamente c</w:t>
      </w:r>
      <w:r w:rsidRPr="001C1A2A">
        <w:rPr>
          <w:rFonts w:ascii="Calibri" w:hAnsi="Calibri" w:cs="Calibri"/>
        </w:rPr>
        <w:t xml:space="preserve">on el botón de </w:t>
      </w:r>
      <w:r w:rsidRPr="00EA6402">
        <w:rPr>
          <w:rFonts w:ascii="Calibri" w:hAnsi="Calibri" w:cs="Calibri"/>
          <w:b/>
          <w:bCs/>
        </w:rPr>
        <w:t>MARCAR TODO</w:t>
      </w:r>
      <w:r w:rsidRPr="001C1A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(en círculo azul) </w:t>
      </w:r>
      <w:r w:rsidRPr="001C1A2A">
        <w:rPr>
          <w:rFonts w:ascii="Calibri" w:hAnsi="Calibri" w:cs="Calibri"/>
        </w:rPr>
        <w:t xml:space="preserve">se </w:t>
      </w:r>
      <w:r>
        <w:rPr>
          <w:rFonts w:ascii="Calibri" w:hAnsi="Calibri" w:cs="Calibri"/>
        </w:rPr>
        <w:t>seleccionan to</w:t>
      </w:r>
      <w:r w:rsidRPr="001C1A2A">
        <w:rPr>
          <w:rFonts w:ascii="Calibri" w:hAnsi="Calibri" w:cs="Calibri"/>
        </w:rPr>
        <w:t>das las bonificaciones v</w:t>
      </w:r>
      <w:r>
        <w:rPr>
          <w:rFonts w:ascii="Calibri" w:hAnsi="Calibri" w:cs="Calibri"/>
        </w:rPr>
        <w:t>encidas (</w:t>
      </w:r>
      <w:r w:rsidR="00916E70">
        <w:rPr>
          <w:rFonts w:ascii="Calibri" w:hAnsi="Calibri" w:cs="Calibri"/>
        </w:rPr>
        <w:t>se deberá</w:t>
      </w:r>
      <w:r>
        <w:rPr>
          <w:rFonts w:ascii="Calibri" w:hAnsi="Calibri" w:cs="Calibri"/>
        </w:rPr>
        <w:t xml:space="preserve"> ingresar con una fecha que esté dentro del rango </w:t>
      </w:r>
      <w:r w:rsidR="00916E70">
        <w:rPr>
          <w:rFonts w:ascii="Calibri" w:hAnsi="Calibri" w:cs="Calibri"/>
        </w:rPr>
        <w:t>vencido</w:t>
      </w:r>
      <w:r>
        <w:rPr>
          <w:rFonts w:ascii="Calibri" w:hAnsi="Calibri" w:cs="Calibri"/>
        </w:rPr>
        <w:t>).</w:t>
      </w:r>
      <w:r w:rsidR="00916E70">
        <w:rPr>
          <w:rFonts w:ascii="Calibri" w:hAnsi="Calibri" w:cs="Calibri"/>
        </w:rPr>
        <w:br/>
      </w:r>
    </w:p>
    <w:p w14:paraId="36734FD9" w14:textId="60ED5FE3" w:rsidR="00B12390" w:rsidRDefault="00B12390" w:rsidP="00B1239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Tocar el botón de </w:t>
      </w:r>
      <w:r w:rsidRPr="00B12390">
        <w:rPr>
          <w:rFonts w:ascii="Calibri" w:hAnsi="Calibri" w:cs="Calibri"/>
          <w:b/>
          <w:bCs/>
        </w:rPr>
        <w:t>BORRAR LÍNEA</w:t>
      </w:r>
      <w:r>
        <w:rPr>
          <w:rFonts w:ascii="Calibri" w:hAnsi="Calibri" w:cs="Calibri"/>
        </w:rPr>
        <w:t xml:space="preserve"> (en círculo rojo). Esto dejará una marca en la columna de Indicador de borrado que eliminará permanentemente la bonificación. </w:t>
      </w:r>
      <w:r w:rsidR="00916E70">
        <w:rPr>
          <w:rFonts w:ascii="Calibri" w:hAnsi="Calibri" w:cs="Calibri"/>
        </w:rPr>
        <w:br/>
      </w:r>
    </w:p>
    <w:p w14:paraId="26D5BABE" w14:textId="57C70E3C" w:rsidR="0029347D" w:rsidRDefault="0029347D" w:rsidP="00B1239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Grabar y seguir los mismos pasos para la otra Clase de Facturación o Aseguradora (si fuera más de una barra por ej.)</w:t>
      </w:r>
    </w:p>
    <w:p w14:paraId="07D3D7C8" w14:textId="7FD847F9" w:rsidR="00B12390" w:rsidRPr="00B12390" w:rsidRDefault="00B12390" w:rsidP="00B12390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4E1165" wp14:editId="410A3F74">
            <wp:extent cx="5014595" cy="4010168"/>
            <wp:effectExtent l="0" t="0" r="0" b="9525"/>
            <wp:docPr id="104834887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48871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511" cy="401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9A12" w14:textId="309D084E" w:rsidR="00B12390" w:rsidRDefault="00B12390" w:rsidP="00B12390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B12390">
        <w:rPr>
          <w:rFonts w:ascii="Calibri" w:hAnsi="Calibri" w:cs="Calibri"/>
          <w:b/>
          <w:bCs/>
        </w:rPr>
        <w:t>Importante</w:t>
      </w:r>
      <w:r>
        <w:rPr>
          <w:rFonts w:ascii="Calibri" w:hAnsi="Calibri" w:cs="Calibri"/>
        </w:rPr>
        <w:t xml:space="preserve">: seguir estos 2 pasos (fin de vigencia y luego recién indicar el borrado) permite que las bonificaciones dadas de baja no sigan apareciendo en reportes y controles. De no indicar primero el fin de vigencia, estas seguirían apareciendo con </w:t>
      </w:r>
      <w:r w:rsidR="0029347D">
        <w:rPr>
          <w:rFonts w:ascii="Calibri" w:hAnsi="Calibri" w:cs="Calibri"/>
        </w:rPr>
        <w:t>la tilde</w:t>
      </w:r>
      <w:r>
        <w:rPr>
          <w:rFonts w:ascii="Calibri" w:hAnsi="Calibri" w:cs="Calibri"/>
        </w:rPr>
        <w:t xml:space="preserve"> de borrado.</w:t>
      </w:r>
    </w:p>
    <w:p w14:paraId="03102365" w14:textId="7BE0DE9C" w:rsidR="00B12390" w:rsidRDefault="00B12390" w:rsidP="0029347D">
      <w:pPr>
        <w:rPr>
          <w:rFonts w:ascii="Calibri" w:hAnsi="Calibri" w:cs="Calibri"/>
        </w:rPr>
      </w:pPr>
    </w:p>
    <w:p w14:paraId="56D083AB" w14:textId="08874AE4" w:rsidR="0029347D" w:rsidRPr="00D55B93" w:rsidRDefault="0029347D" w:rsidP="0029347D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806000"/>
        </w:rPr>
        <w:t>REPORTE DE BONIFICACIONES</w:t>
      </w:r>
      <w:r w:rsidRPr="00D55B93">
        <w:rPr>
          <w:rFonts w:ascii="Calibri" w:hAnsi="Calibri" w:cs="Calibri"/>
        </w:rPr>
        <w:t>:</w:t>
      </w:r>
    </w:p>
    <w:p w14:paraId="3A1BC7E6" w14:textId="2CD37D49" w:rsidR="0029347D" w:rsidRPr="00382702" w:rsidRDefault="0029347D" w:rsidP="0029347D">
      <w:pPr>
        <w:rPr>
          <w:rFonts w:ascii="Calibri" w:hAnsi="Calibri" w:cs="Calibri"/>
        </w:rPr>
      </w:pPr>
      <w:r>
        <w:rPr>
          <w:rFonts w:ascii="Calibri" w:hAnsi="Calibri" w:cs="Calibri"/>
        </w:rPr>
        <w:t>PRÓXIMAMENTE</w:t>
      </w:r>
    </w:p>
    <w:sectPr w:rsidR="0029347D" w:rsidRPr="00382702" w:rsidSect="0030136B">
      <w:headerReference w:type="default" r:id="rId14"/>
      <w:footerReference w:type="default" r:id="rId15"/>
      <w:pgSz w:w="11906" w:h="16838"/>
      <w:pgMar w:top="1417" w:right="1558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8E4C7" w14:textId="77777777" w:rsidR="0030136B" w:rsidRDefault="0030136B" w:rsidP="0030136B">
      <w:pPr>
        <w:spacing w:after="0" w:line="240" w:lineRule="auto"/>
      </w:pPr>
      <w:r>
        <w:separator/>
      </w:r>
    </w:p>
  </w:endnote>
  <w:endnote w:type="continuationSeparator" w:id="0">
    <w:p w14:paraId="74D722B7" w14:textId="77777777" w:rsidR="0030136B" w:rsidRDefault="0030136B" w:rsidP="0030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6FF00B" w14:textId="77777777" w:rsidR="0030136B" w:rsidRPr="0030136B" w:rsidRDefault="0030136B">
    <w:pPr>
      <w:pStyle w:val="Piedepgina"/>
      <w:jc w:val="center"/>
      <w:rPr>
        <w:caps/>
        <w:color w:val="5B9BD5"/>
      </w:rPr>
    </w:pPr>
    <w:r w:rsidRPr="0030136B">
      <w:rPr>
        <w:caps/>
        <w:color w:val="5B9BD5"/>
      </w:rPr>
      <w:fldChar w:fldCharType="begin"/>
    </w:r>
    <w:r w:rsidRPr="0030136B">
      <w:rPr>
        <w:caps/>
        <w:color w:val="5B9BD5"/>
      </w:rPr>
      <w:instrText>PAGE   \* MERGEFORMAT</w:instrText>
    </w:r>
    <w:r w:rsidRPr="0030136B">
      <w:rPr>
        <w:caps/>
        <w:color w:val="5B9BD5"/>
      </w:rPr>
      <w:fldChar w:fldCharType="separate"/>
    </w:r>
    <w:r w:rsidRPr="0030136B">
      <w:rPr>
        <w:caps/>
        <w:color w:val="5B9BD5"/>
        <w:lang w:val="es-ES"/>
      </w:rPr>
      <w:t>2</w:t>
    </w:r>
    <w:r w:rsidRPr="0030136B">
      <w:rPr>
        <w:caps/>
        <w:color w:val="5B9BD5"/>
      </w:rPr>
      <w:fldChar w:fldCharType="end"/>
    </w:r>
  </w:p>
  <w:p w14:paraId="69ADDA03" w14:textId="77777777" w:rsidR="0030136B" w:rsidRDefault="003013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657BC" w14:textId="77777777" w:rsidR="0030136B" w:rsidRDefault="0030136B" w:rsidP="0030136B">
      <w:pPr>
        <w:spacing w:after="0" w:line="240" w:lineRule="auto"/>
      </w:pPr>
      <w:r>
        <w:separator/>
      </w:r>
    </w:p>
  </w:footnote>
  <w:footnote w:type="continuationSeparator" w:id="0">
    <w:p w14:paraId="1F7BE0DB" w14:textId="77777777" w:rsidR="0030136B" w:rsidRDefault="0030136B" w:rsidP="00301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995C3" w14:textId="79039D80" w:rsidR="0030136B" w:rsidRDefault="0030136B">
    <w:pPr>
      <w:pStyle w:val="Encabezado"/>
    </w:pPr>
    <w:r w:rsidRPr="00822C23">
      <w:rPr>
        <w:noProof/>
        <w:lang w:eastAsia="es-AR"/>
      </w:rPr>
      <w:drawing>
        <wp:anchor distT="0" distB="0" distL="114300" distR="114300" simplePos="0" relativeHeight="251661312" behindDoc="0" locked="0" layoutInCell="1" allowOverlap="1" wp14:anchorId="1ABE2B7E" wp14:editId="7B085983">
          <wp:simplePos x="0" y="0"/>
          <wp:positionH relativeFrom="margin">
            <wp:posOffset>5081791</wp:posOffset>
          </wp:positionH>
          <wp:positionV relativeFrom="paragraph">
            <wp:posOffset>-326229</wp:posOffset>
          </wp:positionV>
          <wp:extent cx="1131964" cy="443176"/>
          <wp:effectExtent l="0" t="0" r="0" b="0"/>
          <wp:wrapNone/>
          <wp:docPr id="683378287" name="Imagen 683378287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9284250" name="Imagen 389284250" descr="Interfaz de usuario gráfica, Texto, Aplicación&#10;&#10;Descripción generada automáticamente"/>
                  <pic:cNvPicPr>
                    <a:picLocks noChangeAspect="1"/>
                  </pic:cNvPicPr>
                </pic:nvPicPr>
                <pic:blipFill rotWithShape="1">
                  <a:blip r:embed="rId1"/>
                  <a:srcRect l="13348" t="8723" r="75533" b="83535"/>
                  <a:stretch/>
                </pic:blipFill>
                <pic:spPr>
                  <a:xfrm>
                    <a:off x="0" y="0"/>
                    <a:ext cx="1131964" cy="44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BFF53" wp14:editId="43FA18FC">
              <wp:simplePos x="0" y="0"/>
              <wp:positionH relativeFrom="margin">
                <wp:posOffset>-1064526</wp:posOffset>
              </wp:positionH>
              <wp:positionV relativeFrom="paragraph">
                <wp:posOffset>-457835</wp:posOffset>
              </wp:positionV>
              <wp:extent cx="7860665" cy="714375"/>
              <wp:effectExtent l="0" t="0" r="6985" b="9525"/>
              <wp:wrapNone/>
              <wp:docPr id="8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0665" cy="714375"/>
                      </a:xfrm>
                      <a:prstGeom prst="rect">
                        <a:avLst/>
                      </a:prstGeom>
                      <a:solidFill>
                        <a:srgbClr val="2E75B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670D65" id="Rectángulo 4" o:spid="_x0000_s1026" style="position:absolute;margin-left:-83.8pt;margin-top:-36.05pt;width:618.9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" fillcolor="#2e75b6" stroked="f" strokeweight="1pt">
              <w10:wrap anchorx="margin"/>
            </v:rect>
          </w:pict>
        </mc:Fallback>
      </mc:AlternateContent>
    </w:r>
  </w:p>
  <w:p w14:paraId="582572B7" w14:textId="41B58CB7" w:rsidR="0030136B" w:rsidRDefault="00301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35A3"/>
    <w:multiLevelType w:val="hybridMultilevel"/>
    <w:tmpl w:val="ABD6A39A"/>
    <w:lvl w:ilvl="0" w:tplc="82A8033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5A9"/>
    <w:multiLevelType w:val="hybridMultilevel"/>
    <w:tmpl w:val="89A2B6CA"/>
    <w:lvl w:ilvl="0" w:tplc="F86E4DC8">
      <w:start w:val="1"/>
      <w:numFmt w:val="decimal"/>
      <w:lvlText w:val="%1-"/>
      <w:lvlJc w:val="left"/>
      <w:pPr>
        <w:ind w:left="1068" w:hanging="360"/>
      </w:pPr>
      <w:rPr>
        <w:rFonts w:ascii="Calibri" w:eastAsiaTheme="minorHAnsi" w:hAnsi="Calibri" w:cs="Calibri"/>
      </w:r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08432C"/>
    <w:multiLevelType w:val="hybridMultilevel"/>
    <w:tmpl w:val="F3E092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126033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716D2D"/>
    <w:multiLevelType w:val="hybridMultilevel"/>
    <w:tmpl w:val="561A967A"/>
    <w:lvl w:ilvl="0" w:tplc="26BC826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13069"/>
    <w:multiLevelType w:val="hybridMultilevel"/>
    <w:tmpl w:val="58320AF0"/>
    <w:lvl w:ilvl="0" w:tplc="126033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05299">
    <w:abstractNumId w:val="1"/>
  </w:num>
  <w:num w:numId="2" w16cid:durableId="221839873">
    <w:abstractNumId w:val="4"/>
  </w:num>
  <w:num w:numId="3" w16cid:durableId="1856847764">
    <w:abstractNumId w:val="2"/>
  </w:num>
  <w:num w:numId="4" w16cid:durableId="859204109">
    <w:abstractNumId w:val="0"/>
  </w:num>
  <w:num w:numId="5" w16cid:durableId="1607690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B"/>
    <w:rsid w:val="0000507F"/>
    <w:rsid w:val="00074FCA"/>
    <w:rsid w:val="00086529"/>
    <w:rsid w:val="000C22F4"/>
    <w:rsid w:val="000C6E6F"/>
    <w:rsid w:val="00121717"/>
    <w:rsid w:val="001B799A"/>
    <w:rsid w:val="001C1A2A"/>
    <w:rsid w:val="001D4104"/>
    <w:rsid w:val="00237EC6"/>
    <w:rsid w:val="00250DD3"/>
    <w:rsid w:val="0029347D"/>
    <w:rsid w:val="002B49FB"/>
    <w:rsid w:val="0030136B"/>
    <w:rsid w:val="00382702"/>
    <w:rsid w:val="004C08C5"/>
    <w:rsid w:val="005530A7"/>
    <w:rsid w:val="006A5376"/>
    <w:rsid w:val="006D6450"/>
    <w:rsid w:val="007C18F0"/>
    <w:rsid w:val="00821DFD"/>
    <w:rsid w:val="00827F06"/>
    <w:rsid w:val="008D5526"/>
    <w:rsid w:val="0091699D"/>
    <w:rsid w:val="00916E70"/>
    <w:rsid w:val="00967A47"/>
    <w:rsid w:val="009D270A"/>
    <w:rsid w:val="009E3163"/>
    <w:rsid w:val="00A85A1B"/>
    <w:rsid w:val="00B12390"/>
    <w:rsid w:val="00B72A3C"/>
    <w:rsid w:val="00BC76FC"/>
    <w:rsid w:val="00C120AA"/>
    <w:rsid w:val="00C77830"/>
    <w:rsid w:val="00D01F39"/>
    <w:rsid w:val="00D55B93"/>
    <w:rsid w:val="00DC4FDA"/>
    <w:rsid w:val="00E03280"/>
    <w:rsid w:val="00E34068"/>
    <w:rsid w:val="00E84BF6"/>
    <w:rsid w:val="00EA6402"/>
    <w:rsid w:val="00EF2EB4"/>
    <w:rsid w:val="00F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5AEA"/>
  <w15:chartTrackingRefBased/>
  <w15:docId w15:val="{AF0F54B8-8322-420F-9DF3-96535CB5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39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0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3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3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13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3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13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3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3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36B"/>
  </w:style>
  <w:style w:type="paragraph" w:styleId="Piedepgina">
    <w:name w:val="footer"/>
    <w:basedOn w:val="Normal"/>
    <w:link w:val="PiedepginaCar"/>
    <w:uiPriority w:val="99"/>
    <w:unhideWhenUsed/>
    <w:rsid w:val="00301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36B"/>
  </w:style>
  <w:style w:type="character" w:styleId="Hipervnculo">
    <w:name w:val="Hyperlink"/>
    <w:basedOn w:val="Fuentedeprrafopredeter"/>
    <w:uiPriority w:val="99"/>
    <w:unhideWhenUsed/>
    <w:rsid w:val="003013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2EB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D64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nas02-hbc\DCA\Administracion%20de%20Convenios\FARMACIA\BONIFICACIONE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 Marcelo</dc:creator>
  <cp:keywords/>
  <dc:description/>
  <cp:lastModifiedBy>Cano Marcelo</cp:lastModifiedBy>
  <cp:revision>17</cp:revision>
  <dcterms:created xsi:type="dcterms:W3CDTF">2024-12-11T11:18:00Z</dcterms:created>
  <dcterms:modified xsi:type="dcterms:W3CDTF">2025-01-30T12:21:00Z</dcterms:modified>
</cp:coreProperties>
</file>