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aps/>
          <w:color w:val="9C6B2E"/>
          <w:sz w:val="30"/>
          <w:szCs w:val="30"/>
        </w:rPr>
        <w:t xml:space="preserve">DOSSIER STRATÉGIQUE</w:t>
      </w:r>
    </w:p>
    <w:p>
      <w:pPr>
        <w:spacing w:after="400"/>
        <w:jc w:val="center"/>
      </w:pPr>
      <w:r>
        <w:rPr>
          <w:b/>
          <w:bCs/>
          <w:caps/>
          <w:color w:val="9C6B2E"/>
          <w:sz w:val="30"/>
          <w:szCs w:val="30"/>
        </w:rPr>
        <w:t xml:space="preserve">&amp; PLAN D'AFFAIRES</w:t>
      </w:r>
    </w:p>
    <w:p>
      <w:pPr>
        <w:spacing w:after="120"/>
        <w:jc w:val="center"/>
      </w:pPr>
      <w:r>
        <w:rPr>
          <w:b/>
          <w:bCs/>
          <w:color w:val="1F3B4D"/>
          <w:sz w:val="56"/>
          <w:szCs w:val="56"/>
        </w:rPr>
        <w:t xml:space="preserve">SAS SIR'OSE</w:t>
      </w:r>
    </w:p>
    <w:p>
      <w:pPr>
        <w:spacing w:after="600"/>
        <w:jc w:val="center"/>
      </w:pPr>
      <w:r>
        <w:rPr>
          <w:color w:val="222222"/>
          <w:sz w:val="24"/>
          <w:szCs w:val="24"/>
        </w:rPr>
        <w:t xml:space="preserve">Saint-Pierre, La Réunion</w:t>
      </w:r>
    </w:p>
    <w:p>
      <w:pPr>
        <w:pBdr>
          <w:top w:val="single" w:color="9C6B2E" w:sz="6" w:space="10"/>
          <w:bottom w:val="single" w:color="9C6B2E" w:sz="6" w:space="10"/>
        </w:pBdr>
        <w:spacing w:after="300" w:before="300"/>
        <w:jc w:val="center"/>
      </w:pPr>
      <w:r>
        <w:rPr>
          <w:b/>
          <w:bCs/>
          <w:color w:val="1F3B4D"/>
          <w:sz w:val="26"/>
          <w:szCs w:val="26"/>
        </w:rPr>
        <w:t xml:space="preserve">Plan d'amorçage — 100 000 €</w:t>
      </w:r>
    </w:p>
    <w:p>
      <w:pPr>
        <w:spacing w:after="3000"/>
        <w:jc w:val="center"/>
      </w:pPr>
      <w:r>
        <w:rPr>
          <w:color w:val="555555"/>
          <w:sz w:val="20"/>
          <w:szCs w:val="20"/>
        </w:rPr>
        <w:t xml:space="preserve">Septembre 2026</w:t>
      </w:r>
    </w:p>
    <w:p>
      <w:pPr>
        <w:spacing w:after="80"/>
        <w:jc w:val="center"/>
      </w:pPr>
      <w:r>
        <w:rPr>
          <w:color w:val="777777"/>
          <w:sz w:val="16"/>
          <w:szCs w:val="16"/>
        </w:rPr>
        <w:t xml:space="preserve">SAS au capital variable — SIREN 991 091 166 — RCS Saint-Denis de La Réunion</w:t>
      </w:r>
    </w:p>
    <w:p>
      <w:pPr>
        <w:jc w:val="center"/>
      </w:pPr>
      <w:r>
        <w:rPr>
          <w:color w:val="777777"/>
          <w:sz w:val="16"/>
          <w:szCs w:val="16"/>
        </w:rPr>
        <w:t xml:space="preserve">43C Chemin Luspot, 97410 Saint-Pierre — contact.sirose@gmail.com</w:t>
      </w:r>
    </w:p>
    <w:p>
      <w:r>
        <w:br w:type="page"/>
      </w:r>
    </w:p>
    <w:p>
      <w:pPr>
        <w:spacing w:after="200" w:line="280"/>
      </w:pPr>
      <w:r>
        <w:rPr>
          <w:i/>
          <w:iCs/>
          <w:color w:val="555555"/>
          <w:sz w:val="18"/>
          <w:szCs w:val="18"/>
        </w:rPr>
        <w:t xml:space="preserve">Sources : statuts SAS signés, PV de transfert de siège (10/02/2026), Kbis (SIREN 991 091 166), business plan daté du 05/03/2026, dossiers de subvention KAP TPE et KAP Numérique (avril 2026), CV des fondateurs, relevés bancaires Qonto (octobre 2025 – avril 2026), devis équipement (Hielscher, La Boutique du Barman, S2RI, GBH Dacia), facture et devis global Hôtel Villa Delisle, lettres d'intention La Cave Épicurienne et Groupe Barry Connan, fiches de production, Lean Canvas, analyse et mapping concurrentiels, persona, ressources indispensables, organisation &amp; communication. Toutes les données chiffrées de ce document sont issues de ces pièces ; les éléments encore en négociation ou non chiffrés à ce jour sont explicitement signalés.</w:t>
      </w:r>
    </w:p>
    <w:p>
      <w:pPr>
        <w:pStyle w:val="Heading1"/>
        <w:pBdr>
          <w:bottom w:val="single" w:color="9C6B2E" w:sz="6" w:space="4"/>
        </w:pBdr>
        <w:spacing w:after="200" w:before="400"/>
      </w:pPr>
      <w:r>
        <w:rPr>
          <w:b/>
          <w:bCs/>
          <w:color w:val="1F3B4D"/>
          <w:sz w:val="30"/>
          <w:szCs w:val="30"/>
        </w:rPr>
        <w:t xml:space="preserve">1. Synthèse Exécutive &amp; Vision Globale</w:t>
      </w:r>
    </w:p>
    <w:p>
      <w:pPr>
        <w:spacing w:after="160" w:line="300"/>
      </w:pPr>
      <w:r>
        <w:rPr>
          <w:color w:val="222222"/>
          <w:sz w:val="21"/>
          <w:szCs w:val="21"/>
        </w:rPr>
        <w:t xml:space="preserve">La SAS Sir'Ose (nom commercial historique </w:t>
      </w:r>
      <w:r>
        <w:rPr>
          <w:b/>
          <w:bCs/>
          <w:color w:val="222222"/>
          <w:sz w:val="21"/>
          <w:szCs w:val="21"/>
        </w:rPr>
        <w:t xml:space="preserve">Sir'oté</w:t>
      </w:r>
      <w:r>
        <w:rPr>
          <w:color w:val="222222"/>
          <w:sz w:val="21"/>
          <w:szCs w:val="21"/>
        </w:rPr>
        <w:t xml:space="preserve">), immatriculée le 9 octobre 2025 (SIREN 991 091 166, RCS Saint-Denis de La Réunion, code APE 1101Z — fabrication de boissons), consolide son plan d'affaires d'amorçage à hauteur de </w:t>
      </w:r>
      <w:r>
        <w:rPr>
          <w:b/>
          <w:bCs/>
          <w:color w:val="222222"/>
          <w:sz w:val="21"/>
          <w:szCs w:val="21"/>
        </w:rPr>
        <w:t xml:space="preserve">100 000 €</w:t>
      </w:r>
      <w:r>
        <w:rPr>
          <w:color w:val="222222"/>
          <w:sz w:val="21"/>
          <w:szCs w:val="21"/>
        </w:rPr>
        <w:t xml:space="preserve"> (prêts d'honneur France Active / Initiative Réunion + concours bancaire). L'objectif est de sécuriser un outil de production aux normes sanitaires (HACCP / DDPP Réunion) à Saint-Pierre, en remplacement du laboratoire partagé actuel — mis à disposition à titre temporaire et gracieux chez un restaurateur partenaire, à raison de deux créneaux de 4 heures par semaine, et dont la convention s'est achevée le 28 avril 2026 — pour répondre à une demande B2B en forte croissance (hôtellerie de luxe, cavistes et épiceries fines, locations saisonnières premium).</w:t>
      </w:r>
    </w:p>
    <w:p>
      <w:pPr>
        <w:spacing w:after="160" w:line="300"/>
      </w:pPr>
      <w:r>
        <w:rPr>
          <w:b/>
          <w:bCs/>
          <w:color w:val="222222"/>
          <w:sz w:val="21"/>
          <w:szCs w:val="21"/>
        </w:rPr>
        <w:t xml:space="preserve">Gouvernance. </w:t>
      </w:r>
      <w:r>
        <w:rPr>
          <w:color w:val="222222"/>
          <w:sz w:val="21"/>
          <w:szCs w:val="21"/>
        </w:rPr>
        <w:t xml:space="preserve">SAS à capital variable (capital actuel 1 000 €, plancher statutaire 1 000 €, plafond statutaire 10 000 €), détenue par </w:t>
      </w:r>
      <w:r>
        <w:rPr>
          <w:b/>
          <w:bCs/>
          <w:color w:val="222222"/>
          <w:sz w:val="21"/>
          <w:szCs w:val="21"/>
        </w:rPr>
        <w:t xml:space="preserve">Lucien Moreau</w:t>
      </w:r>
      <w:r>
        <w:rPr>
          <w:color w:val="222222"/>
          <w:sz w:val="21"/>
          <w:szCs w:val="21"/>
        </w:rPr>
        <w:t xml:space="preserve"> (Président, 70 actions — 70 %) et </w:t>
      </w:r>
      <w:r>
        <w:rPr>
          <w:b/>
          <w:bCs/>
          <w:color w:val="222222"/>
          <w:sz w:val="21"/>
          <w:szCs w:val="21"/>
        </w:rPr>
        <w:t xml:space="preserve">Alexandre Steiner</w:t>
      </w:r>
      <w:r>
        <w:rPr>
          <w:color w:val="222222"/>
          <w:sz w:val="21"/>
          <w:szCs w:val="21"/>
        </w:rPr>
        <w:t xml:space="preserve"> (Directeur Général, 30 actions — 30 %), tous deux habilités à représenter la société. Siège social transféré de Saint-Denis vers 43C Chemin Luspot, 97410 Saint-Pierre par décision du Président du 10 février 2026.</w:t>
      </w:r>
    </w:p>
    <w:p>
      <w:pPr>
        <w:spacing w:after="160" w:line="300"/>
      </w:pPr>
      <w:r>
        <w:rPr>
          <w:color w:val="222222"/>
          <w:sz w:val="21"/>
          <w:szCs w:val="21"/>
        </w:rPr>
        <w:t xml:space="preserve">Pour maîtriser le risque financier, le développement s'articule en trois phases indépendantes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900"/>
        <w:gridCol w:w="4160"/>
        <w:gridCol w:w="3300"/>
      </w:tblGrid>
      <w:tr>
        <w:trPr>
          <w:tblHeader/>
        </w:trPr>
        <w:tc>
          <w:tcPr>
            <w:tcW w:type="dxa" w:w="1900"/>
            <w:shd w:fill="1F3B4D" w:color="auto" w:val="clear"/>
            <w:tcMar>
              <w:top w:type="dxa" w:w="80"/>
              <w:left w:type="dxa" w:w="100"/>
              <w:bottom w:type="dxa" w:w="80"/>
              <w:right w:type="dxa" w:w="100"/>
            </w:tcMar>
            <w:vAlign w:val="center"/>
          </w:tcPr>
          <w:p>
            <w:r>
              <w:rPr>
                <w:b/>
                <w:bCs/>
                <w:color w:val="FFFFFF"/>
                <w:sz w:val="19"/>
                <w:szCs w:val="19"/>
              </w:rPr>
              <w:t xml:space="preserve">Phase</w:t>
            </w:r>
          </w:p>
        </w:tc>
        <w:tc>
          <w:tcPr>
            <w:tcW w:type="dxa" w:w="4160"/>
            <w:shd w:fill="1F3B4D" w:color="auto" w:val="clear"/>
            <w:tcMar>
              <w:top w:type="dxa" w:w="80"/>
              <w:left w:type="dxa" w:w="100"/>
              <w:bottom w:type="dxa" w:w="80"/>
              <w:right w:type="dxa" w:w="100"/>
            </w:tcMar>
            <w:vAlign w:val="center"/>
          </w:tcPr>
          <w:p>
            <w:r>
              <w:rPr>
                <w:b/>
                <w:bCs/>
                <w:color w:val="FFFFFF"/>
                <w:sz w:val="19"/>
                <w:szCs w:val="19"/>
              </w:rPr>
              <w:t xml:space="preserve">Objectif &amp; Moyens</w:t>
            </w:r>
          </w:p>
        </w:tc>
        <w:tc>
          <w:tcPr>
            <w:tcW w:type="dxa" w:w="3300"/>
            <w:shd w:fill="1F3B4D" w:color="auto" w:val="clear"/>
            <w:tcMar>
              <w:top w:type="dxa" w:w="80"/>
              <w:left w:type="dxa" w:w="100"/>
              <w:bottom w:type="dxa" w:w="80"/>
              <w:right w:type="dxa" w:w="100"/>
            </w:tcMar>
            <w:vAlign w:val="center"/>
          </w:tcPr>
          <w:p>
            <w:r>
              <w:rPr>
                <w:b/>
                <w:bCs/>
                <w:color w:val="FFFFFF"/>
                <w:sz w:val="19"/>
                <w:szCs w:val="19"/>
              </w:rPr>
              <w:t xml:space="preserve">Impact &amp; Modèle Financier</w:t>
            </w:r>
          </w:p>
        </w:tc>
      </w:tr>
      <w:tr>
        <w:tc>
          <w:tcPr>
            <w:tcW w:type="dxa" w:w="1900"/>
            <w:shd w:fill="FFFFFF" w:color="auto" w:val="clear"/>
            <w:tcMar>
              <w:top w:type="dxa" w:w="70"/>
              <w:left w:type="dxa" w:w="100"/>
              <w:bottom w:type="dxa" w:w="70"/>
              <w:right w:type="dxa" w:w="100"/>
            </w:tcMar>
            <w:vAlign w:val="center"/>
          </w:tcPr>
          <w:p>
            <w:r>
              <w:rPr>
                <w:b/>
                <w:bCs/>
                <w:color w:val="222222"/>
                <w:sz w:val="19"/>
                <w:szCs w:val="19"/>
              </w:rPr>
              <w:t xml:space="preserve">Phase 1 — Amorçage
(Court Terme)</w:t>
            </w:r>
          </w:p>
        </w:tc>
        <w:tc>
          <w:tcPr>
            <w:tcW w:type="dxa" w:w="4160"/>
            <w:shd w:fill="FFFFFF" w:color="auto" w:val="clear"/>
            <w:tcMar>
              <w:top w:type="dxa" w:w="70"/>
              <w:left w:type="dxa" w:w="100"/>
              <w:bottom w:type="dxa" w:w="70"/>
              <w:right w:type="dxa" w:w="100"/>
            </w:tcMar>
            <w:vAlign w:val="center"/>
          </w:tcPr>
          <w:p>
            <w:r>
              <w:rPr>
                <w:b w:val="false"/>
                <w:bCs w:val="false"/>
                <w:color w:val="222222"/>
                <w:sz w:val="19"/>
                <w:szCs w:val="19"/>
              </w:rPr>
              <w:t xml:space="preserve">Atelier de production dédié à Saint-Pierre, conformité sanitaire (HACCP/DDPP), résorption du BFR et augmentation de volume.</w:t>
            </w:r>
          </w:p>
        </w:tc>
        <w:tc>
          <w:tcPr>
            <w:tcW w:type="dxa" w:w="3300"/>
            <w:shd w:fill="FFFFFF" w:color="auto" w:val="clear"/>
            <w:tcMar>
              <w:top w:type="dxa" w:w="70"/>
              <w:left w:type="dxa" w:w="100"/>
              <w:bottom w:type="dxa" w:w="70"/>
              <w:right w:type="dxa" w:w="100"/>
            </w:tcMar>
            <w:vAlign w:val="center"/>
          </w:tcPr>
          <w:p>
            <w:r>
              <w:rPr>
                <w:b w:val="false"/>
                <w:bCs w:val="false"/>
                <w:color w:val="222222"/>
                <w:sz w:val="19"/>
                <w:szCs w:val="19"/>
              </w:rPr>
              <w:t xml:space="preserve">100 000 € (concours bancaire + France Active + Initiative Réunion). Rentabilité rapide via ventes B2B (marge brute 68 %, EBE 55 % dès l'Année 1).</w:t>
            </w:r>
          </w:p>
        </w:tc>
      </w:tr>
      <w:tr>
        <w:tc>
          <w:tcPr>
            <w:tcW w:type="dxa" w:w="1900"/>
            <w:shd w:fill="F2ECE1" w:color="auto" w:val="clear"/>
            <w:tcMar>
              <w:top w:type="dxa" w:w="70"/>
              <w:left w:type="dxa" w:w="100"/>
              <w:bottom w:type="dxa" w:w="70"/>
              <w:right w:type="dxa" w:w="100"/>
            </w:tcMar>
            <w:vAlign w:val="center"/>
          </w:tcPr>
          <w:p>
            <w:r>
              <w:rPr>
                <w:b/>
                <w:bCs/>
                <w:color w:val="222222"/>
                <w:sz w:val="19"/>
                <w:szCs w:val="19"/>
              </w:rPr>
              <w:t xml:space="preserve">Phase 2 — Maison Sir'Ose
(Moyen Terme)</w:t>
            </w:r>
          </w:p>
        </w:tc>
        <w:tc>
          <w:tcPr>
            <w:tcW w:type="dxa" w:w="4160"/>
            <w:shd w:fill="F2ECE1" w:color="auto" w:val="clear"/>
            <w:tcMar>
              <w:top w:type="dxa" w:w="70"/>
              <w:left w:type="dxa" w:w="100"/>
              <w:bottom w:type="dxa" w:w="70"/>
              <w:right w:type="dxa" w:w="100"/>
            </w:tcMar>
            <w:vAlign w:val="center"/>
          </w:tcPr>
          <w:p>
            <w:r>
              <w:rPr>
                <w:b w:val="false"/>
                <w:bCs w:val="false"/>
                <w:color w:val="222222"/>
                <w:sz w:val="19"/>
                <w:szCs w:val="19"/>
              </w:rPr>
              <w:t xml:space="preserve">Tiers-lieu de 250 m² minimum (bâti créole réhabilité + structures modulaires) : Labo Koso, Café-vitrine, Hall d'exposition, Pôle R&amp;D.</w:t>
            </w:r>
          </w:p>
        </w:tc>
        <w:tc>
          <w:tcPr>
            <w:tcW w:type="dxa" w:w="3300"/>
            <w:shd w:fill="F2ECE1" w:color="auto" w:val="clear"/>
            <w:tcMar>
              <w:top w:type="dxa" w:w="70"/>
              <w:left w:type="dxa" w:w="100"/>
              <w:bottom w:type="dxa" w:w="70"/>
              <w:right w:type="dxa" w:w="100"/>
            </w:tcMar>
            <w:vAlign w:val="center"/>
          </w:tcPr>
          <w:p>
            <w:r>
              <w:rPr>
                <w:b w:val="false"/>
                <w:bCs w:val="false"/>
                <w:color w:val="222222"/>
                <w:sz w:val="19"/>
                <w:szCs w:val="19"/>
              </w:rPr>
              <w:t xml:space="preserve">Financement séparé : subventions régionales/FEDER, levée de fonds et autofinancement de la Phase 1.</w:t>
            </w:r>
          </w:p>
        </w:tc>
      </w:tr>
      <w:tr>
        <w:tc>
          <w:tcPr>
            <w:tcW w:type="dxa" w:w="1900"/>
            <w:shd w:fill="FFFFFF" w:color="auto" w:val="clear"/>
            <w:tcMar>
              <w:top w:type="dxa" w:w="70"/>
              <w:left w:type="dxa" w:w="100"/>
              <w:bottom w:type="dxa" w:w="70"/>
              <w:right w:type="dxa" w:w="100"/>
            </w:tcMar>
            <w:vAlign w:val="center"/>
          </w:tcPr>
          <w:p>
            <w:r>
              <w:rPr>
                <w:b/>
                <w:bCs/>
                <w:color w:val="222222"/>
                <w:sz w:val="19"/>
                <w:szCs w:val="19"/>
              </w:rPr>
              <w:t xml:space="preserve">Phase 3 — Éco-Maritime &amp; LIFE
(Long Terme)</w:t>
            </w:r>
          </w:p>
        </w:tc>
        <w:tc>
          <w:tcPr>
            <w:tcW w:type="dxa" w:w="4160"/>
            <w:shd w:fill="FFFFFF" w:color="auto" w:val="clear"/>
            <w:tcMar>
              <w:top w:type="dxa" w:w="70"/>
              <w:left w:type="dxa" w:w="100"/>
              <w:bottom w:type="dxa" w:w="70"/>
              <w:right w:type="dxa" w:w="100"/>
            </w:tcMar>
            <w:vAlign w:val="center"/>
          </w:tcPr>
          <w:p>
            <w:r>
              <w:rPr>
                <w:b w:val="false"/>
                <w:bCs w:val="false"/>
                <w:color w:val="222222"/>
                <w:sz w:val="19"/>
                <w:szCs w:val="19"/>
              </w:rPr>
              <w:t xml:space="preserve">Navettes maritimes électriques/hydrofoils (fret décarboné RN1 + événementiel) et station scientifique sous-marine.</w:t>
            </w:r>
          </w:p>
        </w:tc>
        <w:tc>
          <w:tcPr>
            <w:tcW w:type="dxa" w:w="3300"/>
            <w:shd w:fill="FFFFFF" w:color="auto" w:val="clear"/>
            <w:tcMar>
              <w:top w:type="dxa" w:w="70"/>
              <w:left w:type="dxa" w:w="100"/>
              <w:bottom w:type="dxa" w:w="70"/>
              <w:right w:type="dxa" w:w="100"/>
            </w:tcMar>
            <w:vAlign w:val="center"/>
          </w:tcPr>
          <w:p>
            <w:r>
              <w:rPr>
                <w:b w:val="false"/>
                <w:bCs w:val="false"/>
                <w:color w:val="222222"/>
                <w:sz w:val="19"/>
                <w:szCs w:val="19"/>
              </w:rPr>
              <w:t xml:space="preserve">Consortium maritime + programme européen LIFE (subvention de 60 % à 75 %).</w:t>
            </w:r>
          </w:p>
        </w:tc>
      </w:tr>
    </w:tbl>
    <w:p>
      <w:pPr>
        <w:spacing w:before="200"/>
      </w:pPr>
    </w:p>
    <w:p>
      <w:pPr>
        <w:spacing w:after="200" w:line="280"/>
      </w:pPr>
      <w:r>
        <w:rPr>
          <w:i/>
          <w:iCs/>
          <w:color w:val="555555"/>
          <w:sz w:val="18"/>
          <w:szCs w:val="18"/>
        </w:rPr>
        <w:t xml:space="preserve">Point de méthode : les Phases 2 et 3 sont, à ce stade, des axes de vision stratégique de long terme portés par les fondateurs — aucun chiffrage ni calendrier détaillé n'existe encore à leur sujet. Elles sont volontairement tenues hors du périmètre financier de la présente demande de 100 000 €, qui ne couvre que la Phase 1 (voir section 4).</w:t>
      </w:r>
    </w:p>
    <w:p>
      <w:pPr>
        <w:pStyle w:val="Heading1"/>
        <w:pBdr>
          <w:bottom w:val="single" w:color="9C6B2E" w:sz="6" w:space="4"/>
        </w:pBdr>
        <w:spacing w:after="200" w:before="400"/>
      </w:pPr>
      <w:r>
        <w:rPr>
          <w:b/>
          <w:bCs/>
          <w:color w:val="1F3B4D"/>
          <w:sz w:val="30"/>
          <w:szCs w:val="30"/>
        </w:rPr>
        <w:t xml:space="preserve">2. Plan d'Amorçage Révisé (100 000 €)</w:t>
      </w:r>
    </w:p>
    <w:p>
      <w:pPr>
        <w:pStyle w:val="Heading2"/>
        <w:spacing w:after="140" w:before="320"/>
      </w:pPr>
      <w:r>
        <w:rPr>
          <w:b/>
          <w:bCs/>
          <w:color w:val="1F3B4D"/>
          <w:sz w:val="25"/>
          <w:szCs w:val="25"/>
        </w:rPr>
        <w:t xml:space="preserve">2.1 Pourquoi une réévaluation à 100 000 €</w:t>
      </w:r>
    </w:p>
    <w:p>
      <w:pPr>
        <w:spacing w:after="160" w:line="300"/>
      </w:pPr>
      <w:r>
        <w:rPr>
          <w:color w:val="222222"/>
          <w:sz w:val="21"/>
          <w:szCs w:val="21"/>
        </w:rPr>
        <w:t xml:space="preserve">Le dossier de financement instruit au premier trimestre 2026 portait sur un montage de </w:t>
      </w:r>
      <w:r>
        <w:rPr>
          <w:b/>
          <w:bCs/>
          <w:color w:val="222222"/>
          <w:sz w:val="21"/>
          <w:szCs w:val="21"/>
        </w:rPr>
        <w:t xml:space="preserve">88 498 €</w:t>
      </w:r>
      <w:r>
        <w:rPr>
          <w:color w:val="222222"/>
          <w:sz w:val="21"/>
          <w:szCs w:val="21"/>
        </w:rPr>
        <w:t xml:space="preserve"> (apports associés et apport en nature 8 498 € ; prêt bancaire Crédit Agricole 50 000 € sur 60 mois à 3,5 % ; prêts d'honneur France Active 15 000 € et Initiative Réunion 15 000 €). Ce montage reste la base sécurisée du plan de financement (§2.3).</w:t>
      </w:r>
    </w:p>
    <w:p>
      <w:pPr>
        <w:spacing w:after="160" w:line="300"/>
      </w:pPr>
      <w:r>
        <w:rPr>
          <w:color w:val="222222"/>
          <w:sz w:val="21"/>
          <w:szCs w:val="21"/>
        </w:rPr>
        <w:t xml:space="preserve">Deux faits nouveaux, documentés depuis, justifient une réévaluation de 11 502 € portant l'enveloppe totale à 100 000 € :</w:t>
      </w:r>
    </w:p>
    <w:p>
      <w:pPr>
        <w:pStyle w:val="ListParagraph"/>
        <w:numPr>
          <w:ilvl w:val="0"/>
          <w:numId w:val="1"/>
        </w:numPr>
        <w:spacing w:after="90" w:line="280"/>
      </w:pPr>
      <w:r>
        <w:rPr>
          <w:color w:val="222222"/>
          <w:sz w:val="21"/>
          <w:szCs w:val="21"/>
        </w:rPr>
        <w:t xml:space="preserve">La traction B2B se confirme et s'élargit. L'Hôtel Villa Delisle (Saint-Pierre) est devenu client actif (facture du 19/05/2026, 8 L de Koso concentré à 23 €/L HT, dans le cadre d'un devis global structurant la relation sur 4 volets). Deux lettres d'intention de référencement ont par ailleurs été reçues en mars 2026 (La Cave Épicurienne ; Groupe Barry Connan) — non contractuelles à ce stade, mais qui élargissent le pipeline B2B et le besoin en fonds de roulement.</w:t>
      </w:r>
    </w:p>
    <w:p>
      <w:pPr>
        <w:pStyle w:val="ListParagraph"/>
        <w:numPr>
          <w:ilvl w:val="0"/>
          <w:numId w:val="1"/>
        </w:numPr>
        <w:spacing w:after="90" w:line="280"/>
      </w:pPr>
      <w:r>
        <w:rPr>
          <w:color w:val="222222"/>
          <w:sz w:val="21"/>
          <w:szCs w:val="21"/>
        </w:rPr>
        <w:t xml:space="preserve">Le laboratoire partagé actuel n'est plus une solution viable. La convention de mise à disposition ponctuelle chez le restaurateur partenaire s'est achevée le 28 avril 2026. La trésorerie de l'entreprise est très tendue (solde du compte professionnel à 56,34 € au 30 avril 2026, contre 895,63 € au 1ᵉʳ janvier) : l'ouverture d'un atelier propre, aux normes sanitaires, n'est plus une option de croissance mais une condition de continuité d'activité.</w:t>
      </w:r>
    </w:p>
    <w:p>
      <w:pPr>
        <w:pStyle w:val="Heading2"/>
        <w:spacing w:after="140" w:before="320"/>
      </w:pPr>
      <w:r>
        <w:rPr>
          <w:b/>
          <w:bCs/>
          <w:color w:val="1F3B4D"/>
          <w:sz w:val="25"/>
          <w:szCs w:val="25"/>
        </w:rPr>
        <w:t xml:space="preserve">2.2 Ventilation des 100 000 €</w:t>
      </w:r>
    </w:p>
    <w:p>
      <w:pPr>
        <w:pStyle w:val="Heading3"/>
        <w:spacing w:after="120" w:before="260"/>
      </w:pPr>
      <w:r>
        <w:rPr>
          <w:b/>
          <w:bCs/>
          <w:color w:val="9C6B2E"/>
          <w:sz w:val="23"/>
          <w:szCs w:val="23"/>
        </w:rPr>
        <w:t xml:space="preserve">a) Aménagement atelier &amp; normes sanitaires (SANITA/HACCP) — 28 000 €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7360"/>
        <w:gridCol w:w="2000"/>
      </w:tblGrid>
      <w:tr>
        <w:trPr>
          <w:tblHeader/>
        </w:trPr>
        <w:tc>
          <w:tcPr>
            <w:tcW w:type="dxa" w:w="7360"/>
            <w:shd w:fill="1F3B4D" w:color="auto" w:val="clear"/>
            <w:tcMar>
              <w:top w:type="dxa" w:w="80"/>
              <w:left w:type="dxa" w:w="100"/>
              <w:bottom w:type="dxa" w:w="80"/>
              <w:right w:type="dxa" w:w="100"/>
            </w:tcMar>
            <w:vAlign w:val="center"/>
          </w:tcPr>
          <w:p>
            <w:r>
              <w:rPr>
                <w:b/>
                <w:bCs/>
                <w:color w:val="FFFFFF"/>
                <w:sz w:val="19"/>
                <w:szCs w:val="19"/>
              </w:rPr>
              <w:t xml:space="preserve">Poste</w:t>
            </w:r>
          </w:p>
        </w:tc>
        <w:tc>
          <w:tcPr>
            <w:tcW w:type="dxa" w:w="2000"/>
            <w:shd w:fill="1F3B4D" w:color="auto" w:val="clear"/>
            <w:tcMar>
              <w:top w:type="dxa" w:w="80"/>
              <w:left w:type="dxa" w:w="100"/>
              <w:bottom w:type="dxa" w:w="80"/>
              <w:right w:type="dxa" w:w="100"/>
            </w:tcMar>
            <w:vAlign w:val="center"/>
          </w:tcPr>
          <w:p>
            <w:r>
              <w:rPr>
                <w:b/>
                <w:bCs/>
                <w:color w:val="FFFFFF"/>
                <w:sz w:val="19"/>
                <w:szCs w:val="19"/>
              </w:rPr>
              <w:t xml:space="preserve">Montant</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Travaux de mise aux normes HACCP (sol et murs lavables, ventilation, évacuation, poste de lavage, marche en avant)</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18 000 €</w:t>
            </w:r>
          </w:p>
        </w:tc>
      </w:tr>
      <w:tr>
        <w:tc>
          <w:tcPr>
            <w:tcW w:type="dxa" w:w="7360"/>
            <w:shd w:fill="F2ECE1" w:color="auto" w:val="clear"/>
            <w:tcMar>
              <w:top w:type="dxa" w:w="70"/>
              <w:left w:type="dxa" w:w="100"/>
              <w:bottom w:type="dxa" w:w="70"/>
              <w:right w:type="dxa" w:w="100"/>
            </w:tcMar>
            <w:vAlign w:val="center"/>
          </w:tcPr>
          <w:p>
            <w:r>
              <w:rPr>
                <w:b/>
                <w:bCs/>
                <w:color w:val="222222"/>
                <w:sz w:val="19"/>
                <w:szCs w:val="19"/>
              </w:rPr>
              <w:t xml:space="preserve">Garantie de loyer (bail commercial atelier Saint-Pierre, 3 mois)</w:t>
            </w:r>
          </w:p>
        </w:tc>
        <w:tc>
          <w:tcPr>
            <w:tcW w:type="dxa" w:w="2000"/>
            <w:shd w:fill="F2ECE1" w:color="auto" w:val="clear"/>
            <w:tcMar>
              <w:top w:type="dxa" w:w="70"/>
              <w:left w:type="dxa" w:w="100"/>
              <w:bottom w:type="dxa" w:w="70"/>
              <w:right w:type="dxa" w:w="100"/>
            </w:tcMar>
            <w:vAlign w:val="center"/>
          </w:tcPr>
          <w:p>
            <w:r>
              <w:rPr>
                <w:b w:val="false"/>
                <w:bCs w:val="false"/>
                <w:color w:val="222222"/>
                <w:sz w:val="19"/>
                <w:szCs w:val="19"/>
              </w:rPr>
              <w:t xml:space="preserve">5 000 €</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Agencement intérieur (paillasses inox, rangements, zone de stockage matières premières)</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5 000 €</w:t>
            </w:r>
          </w:p>
        </w:tc>
      </w:tr>
    </w:tbl>
    <w:p>
      <w:pPr>
        <w:pStyle w:val="Heading3"/>
        <w:spacing w:after="120" w:before="260"/>
      </w:pPr>
      <w:r>
        <w:rPr>
          <w:b/>
          <w:bCs/>
          <w:color w:val="9C6B2E"/>
          <w:sz w:val="23"/>
          <w:szCs w:val="23"/>
        </w:rPr>
        <w:t xml:space="preserve">b) Équipement de production &amp; conditionnement — 22 000 €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4800"/>
        <w:gridCol w:w="1650"/>
        <w:gridCol w:w="2910"/>
      </w:tblGrid>
      <w:tr>
        <w:trPr>
          <w:tblHeader/>
        </w:trPr>
        <w:tc>
          <w:tcPr>
            <w:tcW w:type="dxa" w:w="4800"/>
            <w:shd w:fill="1F3B4D" w:color="auto" w:val="clear"/>
            <w:tcMar>
              <w:top w:type="dxa" w:w="80"/>
              <w:left w:type="dxa" w:w="100"/>
              <w:bottom w:type="dxa" w:w="80"/>
              <w:right w:type="dxa" w:w="100"/>
            </w:tcMar>
            <w:vAlign w:val="center"/>
          </w:tcPr>
          <w:p>
            <w:r>
              <w:rPr>
                <w:b/>
                <w:bCs/>
                <w:color w:val="FFFFFF"/>
                <w:sz w:val="19"/>
                <w:szCs w:val="19"/>
              </w:rPr>
              <w:t xml:space="preserve">Poste</w:t>
            </w:r>
          </w:p>
        </w:tc>
        <w:tc>
          <w:tcPr>
            <w:tcW w:type="dxa" w:w="1650"/>
            <w:shd w:fill="1F3B4D" w:color="auto" w:val="clear"/>
            <w:tcMar>
              <w:top w:type="dxa" w:w="80"/>
              <w:left w:type="dxa" w:w="100"/>
              <w:bottom w:type="dxa" w:w="80"/>
              <w:right w:type="dxa" w:w="100"/>
            </w:tcMar>
            <w:vAlign w:val="center"/>
          </w:tcPr>
          <w:p>
            <w:r>
              <w:rPr>
                <w:b/>
                <w:bCs/>
                <w:color w:val="FFFFFF"/>
                <w:sz w:val="19"/>
                <w:szCs w:val="19"/>
              </w:rPr>
              <w:t xml:space="preserve">Montant</w:t>
            </w:r>
          </w:p>
        </w:tc>
        <w:tc>
          <w:tcPr>
            <w:tcW w:type="dxa" w:w="2910"/>
            <w:shd w:fill="1F3B4D" w:color="auto" w:val="clear"/>
            <w:tcMar>
              <w:top w:type="dxa" w:w="80"/>
              <w:left w:type="dxa" w:w="100"/>
              <w:bottom w:type="dxa" w:w="80"/>
              <w:right w:type="dxa" w:w="100"/>
            </w:tcMar>
            <w:vAlign w:val="center"/>
          </w:tcPr>
          <w:p>
            <w:r>
              <w:rPr>
                <w:b/>
                <w:bCs/>
                <w:color w:val="FFFFFF"/>
                <w:sz w:val="19"/>
                <w:szCs w:val="19"/>
              </w:rPr>
              <w:t xml:space="preserve">Référence</w:t>
            </w:r>
          </w:p>
        </w:tc>
      </w:tr>
      <w:tr>
        <w:tc>
          <w:tcPr>
            <w:tcW w:type="dxa" w:w="4800"/>
            <w:shd w:fill="FFFFFF" w:color="auto" w:val="clear"/>
            <w:tcMar>
              <w:top w:type="dxa" w:w="70"/>
              <w:left w:type="dxa" w:w="100"/>
              <w:bottom w:type="dxa" w:w="70"/>
              <w:right w:type="dxa" w:w="100"/>
            </w:tcMar>
            <w:vAlign w:val="center"/>
          </w:tcPr>
          <w:p>
            <w:r>
              <w:rPr>
                <w:b/>
                <w:bCs/>
                <w:color w:val="222222"/>
                <w:sz w:val="19"/>
                <w:szCs w:val="19"/>
              </w:rPr>
              <w:t xml:space="preserve">Lyophilisateur Lyo Chef PRO 70/0077</w:t>
            </w:r>
          </w:p>
        </w:tc>
        <w:tc>
          <w:tcPr>
            <w:tcW w:type="dxa" w:w="1650"/>
            <w:shd w:fill="FFFFFF" w:color="auto" w:val="clear"/>
            <w:tcMar>
              <w:top w:type="dxa" w:w="70"/>
              <w:left w:type="dxa" w:w="100"/>
              <w:bottom w:type="dxa" w:w="70"/>
              <w:right w:type="dxa" w:w="100"/>
            </w:tcMar>
            <w:vAlign w:val="center"/>
          </w:tcPr>
          <w:p>
            <w:r>
              <w:rPr>
                <w:b w:val="false"/>
                <w:bCs w:val="false"/>
                <w:color w:val="222222"/>
                <w:sz w:val="19"/>
                <w:szCs w:val="19"/>
              </w:rPr>
              <w:t xml:space="preserve">6 400 € TTC</w:t>
            </w:r>
          </w:p>
        </w:tc>
        <w:tc>
          <w:tcPr>
            <w:tcW w:type="dxa" w:w="2910"/>
            <w:shd w:fill="FFFFFF" w:color="auto" w:val="clear"/>
            <w:tcMar>
              <w:top w:type="dxa" w:w="70"/>
              <w:left w:type="dxa" w:w="100"/>
              <w:bottom w:type="dxa" w:w="70"/>
              <w:right w:type="dxa" w:w="100"/>
            </w:tcMar>
            <w:vAlign w:val="center"/>
          </w:tcPr>
          <w:p>
            <w:r>
              <w:rPr>
                <w:b w:val="false"/>
                <w:bCs w:val="false"/>
                <w:color w:val="222222"/>
                <w:sz w:val="19"/>
                <w:szCs w:val="19"/>
              </w:rPr>
              <w:t xml:space="preserve">Devis La Boutique du Barman, 28/04/2026</w:t>
            </w:r>
          </w:p>
        </w:tc>
      </w:tr>
      <w:tr>
        <w:tc>
          <w:tcPr>
            <w:tcW w:type="dxa" w:w="4800"/>
            <w:shd w:fill="F2ECE1" w:color="auto" w:val="clear"/>
            <w:tcMar>
              <w:top w:type="dxa" w:w="70"/>
              <w:left w:type="dxa" w:w="100"/>
              <w:bottom w:type="dxa" w:w="70"/>
              <w:right w:type="dxa" w:w="100"/>
            </w:tcMar>
            <w:vAlign w:val="center"/>
          </w:tcPr>
          <w:p>
            <w:r>
              <w:rPr>
                <w:b/>
                <w:bCs/>
                <w:color w:val="222222"/>
                <w:sz w:val="19"/>
                <w:szCs w:val="19"/>
              </w:rPr>
              <w:t xml:space="preserve">Ultrasonateur Hielscher UP400St + sonotrodes + support</w:t>
            </w:r>
          </w:p>
        </w:tc>
        <w:tc>
          <w:tcPr>
            <w:tcW w:type="dxa" w:w="1650"/>
            <w:shd w:fill="F2ECE1" w:color="auto" w:val="clear"/>
            <w:tcMar>
              <w:top w:type="dxa" w:w="70"/>
              <w:left w:type="dxa" w:w="100"/>
              <w:bottom w:type="dxa" w:w="70"/>
              <w:right w:type="dxa" w:w="100"/>
            </w:tcMar>
            <w:vAlign w:val="center"/>
          </w:tcPr>
          <w:p>
            <w:r>
              <w:rPr>
                <w:b w:val="false"/>
                <w:bCs w:val="false"/>
                <w:color w:val="222222"/>
                <w:sz w:val="19"/>
                <w:szCs w:val="19"/>
              </w:rPr>
              <w:t xml:space="preserve">6 993 € TTC</w:t>
            </w:r>
          </w:p>
        </w:tc>
        <w:tc>
          <w:tcPr>
            <w:tcW w:type="dxa" w:w="2910"/>
            <w:shd w:fill="F2ECE1" w:color="auto" w:val="clear"/>
            <w:tcMar>
              <w:top w:type="dxa" w:w="70"/>
              <w:left w:type="dxa" w:w="100"/>
              <w:bottom w:type="dxa" w:w="70"/>
              <w:right w:type="dxa" w:w="100"/>
            </w:tcMar>
            <w:vAlign w:val="center"/>
          </w:tcPr>
          <w:p>
            <w:r>
              <w:rPr>
                <w:b w:val="false"/>
                <w:bCs w:val="false"/>
                <w:color w:val="222222"/>
                <w:sz w:val="19"/>
                <w:szCs w:val="19"/>
              </w:rPr>
              <w:t xml:space="preserve">Devis Hielscher Ultrasonics, 28/04/2026</w:t>
            </w:r>
          </w:p>
        </w:tc>
      </w:tr>
      <w:tr>
        <w:tc>
          <w:tcPr>
            <w:tcW w:type="dxa" w:w="4800"/>
            <w:shd w:fill="FFFFFF" w:color="auto" w:val="clear"/>
            <w:tcMar>
              <w:top w:type="dxa" w:w="70"/>
              <w:left w:type="dxa" w:w="100"/>
              <w:bottom w:type="dxa" w:w="70"/>
              <w:right w:type="dxa" w:w="100"/>
            </w:tcMar>
            <w:vAlign w:val="center"/>
          </w:tcPr>
          <w:p>
            <w:r>
              <w:rPr>
                <w:b/>
                <w:bCs/>
                <w:color w:val="222222"/>
                <w:sz w:val="19"/>
                <w:szCs w:val="19"/>
              </w:rPr>
              <w:t xml:space="preserve">2 ordinateurs professionnels (production + administration)</w:t>
            </w:r>
          </w:p>
        </w:tc>
        <w:tc>
          <w:tcPr>
            <w:tcW w:type="dxa" w:w="1650"/>
            <w:shd w:fill="FFFFFF" w:color="auto" w:val="clear"/>
            <w:tcMar>
              <w:top w:type="dxa" w:w="70"/>
              <w:left w:type="dxa" w:w="100"/>
              <w:bottom w:type="dxa" w:w="70"/>
              <w:right w:type="dxa" w:w="100"/>
            </w:tcMar>
            <w:vAlign w:val="center"/>
          </w:tcPr>
          <w:p>
            <w:r>
              <w:rPr>
                <w:b w:val="false"/>
                <w:bCs w:val="false"/>
                <w:color w:val="222222"/>
                <w:sz w:val="19"/>
                <w:szCs w:val="19"/>
              </w:rPr>
              <w:t xml:space="preserve">1 658 € TTC</w:t>
            </w:r>
          </w:p>
        </w:tc>
        <w:tc>
          <w:tcPr>
            <w:tcW w:type="dxa" w:w="2910"/>
            <w:shd w:fill="FFFFFF" w:color="auto" w:val="clear"/>
            <w:tcMar>
              <w:top w:type="dxa" w:w="70"/>
              <w:left w:type="dxa" w:w="100"/>
              <w:bottom w:type="dxa" w:w="70"/>
              <w:right w:type="dxa" w:w="100"/>
            </w:tcMar>
            <w:vAlign w:val="center"/>
          </w:tcPr>
          <w:p>
            <w:r>
              <w:rPr>
                <w:b w:val="false"/>
                <w:bCs w:val="false"/>
                <w:color w:val="222222"/>
                <w:sz w:val="19"/>
                <w:szCs w:val="19"/>
              </w:rPr>
              <w:t xml:space="preserve">Devis S2RI, 30/04/2026</w:t>
            </w:r>
          </w:p>
        </w:tc>
      </w:tr>
      <w:tr>
        <w:tc>
          <w:tcPr>
            <w:tcW w:type="dxa" w:w="4800"/>
            <w:shd w:fill="F2ECE1" w:color="auto" w:val="clear"/>
            <w:tcMar>
              <w:top w:type="dxa" w:w="70"/>
              <w:left w:type="dxa" w:w="100"/>
              <w:bottom w:type="dxa" w:w="70"/>
              <w:right w:type="dxa" w:w="100"/>
            </w:tcMar>
            <w:vAlign w:val="center"/>
          </w:tcPr>
          <w:p>
            <w:r>
              <w:rPr>
                <w:b/>
                <w:bCs/>
                <w:color w:val="222222"/>
                <w:sz w:val="19"/>
                <w:szCs w:val="19"/>
              </w:rPr>
              <w:t xml:space="preserve">Ligne de conditionnement (remplisseuse semi-automatique, étiqueteuse)</w:t>
            </w:r>
          </w:p>
        </w:tc>
        <w:tc>
          <w:tcPr>
            <w:tcW w:type="dxa" w:w="1650"/>
            <w:shd w:fill="F2ECE1" w:color="auto" w:val="clear"/>
            <w:tcMar>
              <w:top w:type="dxa" w:w="70"/>
              <w:left w:type="dxa" w:w="100"/>
              <w:bottom w:type="dxa" w:w="70"/>
              <w:right w:type="dxa" w:w="100"/>
            </w:tcMar>
            <w:vAlign w:val="center"/>
          </w:tcPr>
          <w:p>
            <w:r>
              <w:rPr>
                <w:b w:val="false"/>
                <w:bCs w:val="false"/>
                <w:color w:val="222222"/>
                <w:sz w:val="19"/>
                <w:szCs w:val="19"/>
              </w:rPr>
              <w:t xml:space="preserve">5 500 €</w:t>
            </w:r>
          </w:p>
        </w:tc>
        <w:tc>
          <w:tcPr>
            <w:tcW w:type="dxa" w:w="2910"/>
            <w:shd w:fill="F2ECE1" w:color="auto" w:val="clear"/>
            <w:tcMar>
              <w:top w:type="dxa" w:w="70"/>
              <w:left w:type="dxa" w:w="100"/>
              <w:bottom w:type="dxa" w:w="70"/>
              <w:right w:type="dxa" w:w="100"/>
            </w:tcMar>
            <w:vAlign w:val="center"/>
          </w:tcPr>
          <w:p>
            <w:r>
              <w:rPr>
                <w:b w:val="false"/>
                <w:bCs w:val="false"/>
                <w:color w:val="222222"/>
                <w:sz w:val="19"/>
                <w:szCs w:val="19"/>
              </w:rPr>
              <w:t xml:space="preserve">Estimation fournisseur</w:t>
            </w:r>
          </w:p>
        </w:tc>
      </w:tr>
      <w:tr>
        <w:tc>
          <w:tcPr>
            <w:tcW w:type="dxa" w:w="4800"/>
            <w:shd w:fill="FFFFFF" w:color="auto" w:val="clear"/>
            <w:tcMar>
              <w:top w:type="dxa" w:w="70"/>
              <w:left w:type="dxa" w:w="100"/>
              <w:bottom w:type="dxa" w:w="70"/>
              <w:right w:type="dxa" w:w="100"/>
            </w:tcMar>
            <w:vAlign w:val="center"/>
          </w:tcPr>
          <w:p>
            <w:r>
              <w:rPr>
                <w:b/>
                <w:bCs/>
                <w:color w:val="222222"/>
                <w:sz w:val="19"/>
                <w:szCs w:val="19"/>
              </w:rPr>
              <w:t xml:space="preserve">Petit matériel de production HACCP et contrôle qualité (ustensiles inox, pH-mètre, réfractomètre, balance de précision)</w:t>
            </w:r>
          </w:p>
        </w:tc>
        <w:tc>
          <w:tcPr>
            <w:tcW w:type="dxa" w:w="1650"/>
            <w:shd w:fill="FFFFFF" w:color="auto" w:val="clear"/>
            <w:tcMar>
              <w:top w:type="dxa" w:w="70"/>
              <w:left w:type="dxa" w:w="100"/>
              <w:bottom w:type="dxa" w:w="70"/>
              <w:right w:type="dxa" w:w="100"/>
            </w:tcMar>
            <w:vAlign w:val="center"/>
          </w:tcPr>
          <w:p>
            <w:r>
              <w:rPr>
                <w:b w:val="false"/>
                <w:bCs w:val="false"/>
                <w:color w:val="222222"/>
                <w:sz w:val="19"/>
                <w:szCs w:val="19"/>
              </w:rPr>
              <w:t xml:space="preserve">1 449 €</w:t>
            </w:r>
          </w:p>
        </w:tc>
        <w:tc>
          <w:tcPr>
            <w:tcW w:type="dxa" w:w="2910"/>
            <w:shd w:fill="FFFFFF" w:color="auto" w:val="clear"/>
            <w:tcMar>
              <w:top w:type="dxa" w:w="70"/>
              <w:left w:type="dxa" w:w="100"/>
              <w:bottom w:type="dxa" w:w="70"/>
              <w:right w:type="dxa" w:w="100"/>
            </w:tcMar>
            <w:vAlign w:val="center"/>
          </w:tcPr>
          <w:p>
            <w:r>
              <w:rPr>
                <w:b w:val="false"/>
                <w:bCs w:val="false"/>
                <w:color w:val="222222"/>
                <w:sz w:val="19"/>
                <w:szCs w:val="19"/>
              </w:rPr>
              <w:t xml:space="preserve">Base devis Promonet + compléments</w:t>
            </w:r>
          </w:p>
        </w:tc>
      </w:tr>
    </w:tbl>
    <w:p>
      <w:pPr>
        <w:spacing w:after="200" w:line="280"/>
      </w:pPr>
      <w:r>
        <w:rPr>
          <w:i/>
          <w:iCs/>
          <w:color w:val="555555"/>
          <w:sz w:val="18"/>
          <w:szCs w:val="18"/>
        </w:rPr>
        <w:t xml:space="preserve">L'ultrasonateur et le lyophilisateur ont déjà fait l'objet d'un dossier de subvention KAP TPE (Région Réunion) pour 15 410,12 € HT de matériel éligible, avec une subvention visée de 7 705,06 € (50 %) — un cofinancement qui vient réduire d'autant le reste à charge sur ce poste.</w:t>
      </w:r>
    </w:p>
    <w:p>
      <w:pPr>
        <w:pStyle w:val="Heading3"/>
        <w:spacing w:after="120" w:before="260"/>
      </w:pPr>
      <w:r>
        <w:rPr>
          <w:b/>
          <w:bCs/>
          <w:color w:val="9C6B2E"/>
          <w:sz w:val="23"/>
          <w:szCs w:val="23"/>
        </w:rPr>
        <w:t xml:space="preserve">c) Stock &amp; BFR initial — 32 000 €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7360"/>
        <w:gridCol w:w="2000"/>
      </w:tblGrid>
      <w:tr>
        <w:trPr>
          <w:tblHeader/>
        </w:trPr>
        <w:tc>
          <w:tcPr>
            <w:tcW w:type="dxa" w:w="7360"/>
            <w:shd w:fill="1F3B4D" w:color="auto" w:val="clear"/>
            <w:tcMar>
              <w:top w:type="dxa" w:w="80"/>
              <w:left w:type="dxa" w:w="100"/>
              <w:bottom w:type="dxa" w:w="80"/>
              <w:right w:type="dxa" w:w="100"/>
            </w:tcMar>
            <w:vAlign w:val="center"/>
          </w:tcPr>
          <w:p>
            <w:r>
              <w:rPr>
                <w:b/>
                <w:bCs/>
                <w:color w:val="FFFFFF"/>
                <w:sz w:val="19"/>
                <w:szCs w:val="19"/>
              </w:rPr>
              <w:t xml:space="preserve">Poste</w:t>
            </w:r>
          </w:p>
        </w:tc>
        <w:tc>
          <w:tcPr>
            <w:tcW w:type="dxa" w:w="2000"/>
            <w:shd w:fill="1F3B4D" w:color="auto" w:val="clear"/>
            <w:tcMar>
              <w:top w:type="dxa" w:w="80"/>
              <w:left w:type="dxa" w:w="100"/>
              <w:bottom w:type="dxa" w:w="80"/>
              <w:right w:type="dxa" w:w="100"/>
            </w:tcMar>
            <w:vAlign w:val="center"/>
          </w:tcPr>
          <w:p>
            <w:r>
              <w:rPr>
                <w:b/>
                <w:bCs/>
                <w:color w:val="FFFFFF"/>
                <w:sz w:val="19"/>
                <w:szCs w:val="19"/>
              </w:rPr>
              <w:t xml:space="preserve">Montant</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Achat groupé de matières premières locales (fruits, plantes médicinales et épices péi, sucre de canne roux)</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14 200 €</w:t>
            </w:r>
          </w:p>
        </w:tc>
      </w:tr>
      <w:tr>
        <w:tc>
          <w:tcPr>
            <w:tcW w:type="dxa" w:w="7360"/>
            <w:shd w:fill="F2ECE1" w:color="auto" w:val="clear"/>
            <w:tcMar>
              <w:top w:type="dxa" w:w="70"/>
              <w:left w:type="dxa" w:w="100"/>
              <w:bottom w:type="dxa" w:w="70"/>
              <w:right w:type="dxa" w:w="100"/>
            </w:tcMar>
            <w:vAlign w:val="center"/>
          </w:tcPr>
          <w:p>
            <w:r>
              <w:rPr>
                <w:b/>
                <w:bCs/>
                <w:color w:val="222222"/>
                <w:sz w:val="19"/>
                <w:szCs w:val="19"/>
              </w:rPr>
              <w:t xml:space="preserve">Flaconnage et packaging (bouteilles verre 12,5/25/50/100 cl, étiquettes, capsules)</w:t>
            </w:r>
          </w:p>
        </w:tc>
        <w:tc>
          <w:tcPr>
            <w:tcW w:type="dxa" w:w="2000"/>
            <w:shd w:fill="F2ECE1" w:color="auto" w:val="clear"/>
            <w:tcMar>
              <w:top w:type="dxa" w:w="70"/>
              <w:left w:type="dxa" w:w="100"/>
              <w:bottom w:type="dxa" w:w="70"/>
              <w:right w:type="dxa" w:w="100"/>
            </w:tcMar>
            <w:vAlign w:val="center"/>
          </w:tcPr>
          <w:p>
            <w:r>
              <w:rPr>
                <w:b w:val="false"/>
                <w:bCs w:val="false"/>
                <w:color w:val="222222"/>
                <w:sz w:val="19"/>
                <w:szCs w:val="19"/>
              </w:rPr>
              <w:t xml:space="preserve">4 000 €</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Alternance secrétaire administratif (12 mois, coût chargé, CFA local)</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13 800 €</w:t>
            </w:r>
          </w:p>
        </w:tc>
      </w:tr>
    </w:tbl>
    <w:p>
      <w:pPr>
        <w:pStyle w:val="Heading3"/>
        <w:spacing w:after="120" w:before="260"/>
      </w:pPr>
      <w:r>
        <w:rPr>
          <w:b/>
          <w:bCs/>
          <w:color w:val="9C6B2E"/>
          <w:sz w:val="23"/>
          <w:szCs w:val="23"/>
        </w:rPr>
        <w:t xml:space="preserve">d) Frais administratifs, juridiques &amp; IP — 18 000 €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7360"/>
        <w:gridCol w:w="2000"/>
      </w:tblGrid>
      <w:tr>
        <w:trPr>
          <w:tblHeader/>
        </w:trPr>
        <w:tc>
          <w:tcPr>
            <w:tcW w:type="dxa" w:w="7360"/>
            <w:shd w:fill="1F3B4D" w:color="auto" w:val="clear"/>
            <w:tcMar>
              <w:top w:type="dxa" w:w="80"/>
              <w:left w:type="dxa" w:w="100"/>
              <w:bottom w:type="dxa" w:w="80"/>
              <w:right w:type="dxa" w:w="100"/>
            </w:tcMar>
            <w:vAlign w:val="center"/>
          </w:tcPr>
          <w:p>
            <w:r>
              <w:rPr>
                <w:b/>
                <w:bCs/>
                <w:color w:val="FFFFFF"/>
                <w:sz w:val="19"/>
                <w:szCs w:val="19"/>
              </w:rPr>
              <w:t xml:space="preserve">Poste</w:t>
            </w:r>
          </w:p>
        </w:tc>
        <w:tc>
          <w:tcPr>
            <w:tcW w:type="dxa" w:w="2000"/>
            <w:shd w:fill="1F3B4D" w:color="auto" w:val="clear"/>
            <w:tcMar>
              <w:top w:type="dxa" w:w="80"/>
              <w:left w:type="dxa" w:w="100"/>
              <w:bottom w:type="dxa" w:w="80"/>
              <w:right w:type="dxa" w:w="100"/>
            </w:tcMar>
            <w:vAlign w:val="center"/>
          </w:tcPr>
          <w:p>
            <w:r>
              <w:rPr>
                <w:b/>
                <w:bCs/>
                <w:color w:val="FFFFFF"/>
                <w:sz w:val="19"/>
                <w:szCs w:val="19"/>
              </w:rPr>
              <w:t xml:space="preserve">Montant</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Identité visuelle &amp; stratégie de marque (repositionnement CHR, charte graphique)</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9 500 €</w:t>
            </w:r>
          </w:p>
        </w:tc>
      </w:tr>
      <w:tr>
        <w:tc>
          <w:tcPr>
            <w:tcW w:type="dxa" w:w="7360"/>
            <w:shd w:fill="F2ECE1" w:color="auto" w:val="clear"/>
            <w:tcMar>
              <w:top w:type="dxa" w:w="70"/>
              <w:left w:type="dxa" w:w="100"/>
              <w:bottom w:type="dxa" w:w="70"/>
              <w:right w:type="dxa" w:w="100"/>
            </w:tcMar>
            <w:vAlign w:val="center"/>
          </w:tcPr>
          <w:p>
            <w:r>
              <w:rPr>
                <w:b/>
                <w:bCs/>
                <w:color w:val="222222"/>
                <w:sz w:val="19"/>
                <w:szCs w:val="19"/>
              </w:rPr>
              <w:t xml:space="preserve">Honoraires juridiques (mise à jour des statuts, dépôt de marque et protection des recettes propriétaires Koso)</w:t>
            </w:r>
          </w:p>
        </w:tc>
        <w:tc>
          <w:tcPr>
            <w:tcW w:type="dxa" w:w="2000"/>
            <w:shd w:fill="F2ECE1" w:color="auto" w:val="clear"/>
            <w:tcMar>
              <w:top w:type="dxa" w:w="70"/>
              <w:left w:type="dxa" w:w="100"/>
              <w:bottom w:type="dxa" w:w="70"/>
              <w:right w:type="dxa" w:w="100"/>
            </w:tcMar>
            <w:vAlign w:val="center"/>
          </w:tcPr>
          <w:p>
            <w:r>
              <w:rPr>
                <w:b w:val="false"/>
                <w:bCs w:val="false"/>
                <w:color w:val="222222"/>
                <w:sz w:val="19"/>
                <w:szCs w:val="19"/>
              </w:rPr>
              <w:t xml:space="preserve">3 000 €</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Assurances (RC Pro, multirisque atelier, marchandises)</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1 800 €</w:t>
            </w:r>
          </w:p>
        </w:tc>
      </w:tr>
      <w:tr>
        <w:tc>
          <w:tcPr>
            <w:tcW w:type="dxa" w:w="7360"/>
            <w:shd w:fill="F2ECE1" w:color="auto" w:val="clear"/>
            <w:tcMar>
              <w:top w:type="dxa" w:w="70"/>
              <w:left w:type="dxa" w:w="100"/>
              <w:bottom w:type="dxa" w:w="70"/>
              <w:right w:type="dxa" w:w="100"/>
            </w:tcMar>
            <w:vAlign w:val="center"/>
          </w:tcPr>
          <w:p>
            <w:r>
              <w:rPr>
                <w:b/>
                <w:bCs/>
                <w:color w:val="222222"/>
                <w:sz w:val="19"/>
                <w:szCs w:val="19"/>
              </w:rPr>
              <w:t xml:space="preserve">Suivi comptable et outils de gestion (expert-comptable, Pennylane, Qonto)</w:t>
            </w:r>
          </w:p>
        </w:tc>
        <w:tc>
          <w:tcPr>
            <w:tcW w:type="dxa" w:w="2000"/>
            <w:shd w:fill="F2ECE1" w:color="auto" w:val="clear"/>
            <w:tcMar>
              <w:top w:type="dxa" w:w="70"/>
              <w:left w:type="dxa" w:w="100"/>
              <w:bottom w:type="dxa" w:w="70"/>
              <w:right w:type="dxa" w:w="100"/>
            </w:tcMar>
            <w:vAlign w:val="center"/>
          </w:tcPr>
          <w:p>
            <w:r>
              <w:rPr>
                <w:b w:val="false"/>
                <w:bCs w:val="false"/>
                <w:color w:val="222222"/>
                <w:sz w:val="19"/>
                <w:szCs w:val="19"/>
              </w:rPr>
              <w:t xml:space="preserve">1 700 €</w:t>
            </w:r>
          </w:p>
        </w:tc>
      </w:tr>
      <w:tr>
        <w:tc>
          <w:tcPr>
            <w:tcW w:type="dxa" w:w="7360"/>
            <w:shd w:fill="FFFFFF" w:color="auto" w:val="clear"/>
            <w:tcMar>
              <w:top w:type="dxa" w:w="70"/>
              <w:left w:type="dxa" w:w="100"/>
              <w:bottom w:type="dxa" w:w="70"/>
              <w:right w:type="dxa" w:w="100"/>
            </w:tcMar>
            <w:vAlign w:val="center"/>
          </w:tcPr>
          <w:p>
            <w:r>
              <w:rPr>
                <w:b/>
                <w:bCs/>
                <w:color w:val="222222"/>
                <w:sz w:val="19"/>
                <w:szCs w:val="19"/>
              </w:rPr>
              <w:t xml:space="preserve">Lancement de la communication opérationnelle (amorçage du plan de déploiement annuel)</w:t>
            </w:r>
          </w:p>
        </w:tc>
        <w:tc>
          <w:tcPr>
            <w:tcW w:type="dxa" w:w="2000"/>
            <w:shd w:fill="FFFFFF" w:color="auto" w:val="clear"/>
            <w:tcMar>
              <w:top w:type="dxa" w:w="70"/>
              <w:left w:type="dxa" w:w="100"/>
              <w:bottom w:type="dxa" w:w="70"/>
              <w:right w:type="dxa" w:w="100"/>
            </w:tcMar>
            <w:vAlign w:val="center"/>
          </w:tcPr>
          <w:p>
            <w:r>
              <w:rPr>
                <w:b w:val="false"/>
                <w:bCs w:val="false"/>
                <w:color w:val="222222"/>
                <w:sz w:val="19"/>
                <w:szCs w:val="19"/>
              </w:rPr>
              <w:t xml:space="preserve">2 000 €</w:t>
            </w:r>
          </w:p>
        </w:tc>
      </w:tr>
    </w:tbl>
    <w:p>
      <w:pPr>
        <w:spacing w:after="200" w:line="280"/>
      </w:pPr>
      <w:r>
        <w:rPr>
          <w:i/>
          <w:iCs/>
          <w:color w:val="555555"/>
          <w:sz w:val="18"/>
          <w:szCs w:val="18"/>
        </w:rPr>
        <w:t xml:space="preserve">Le déploiement annuel complet de la stratégie de communication (pilotage, production de contenus, animation réseaux sociaux — 24 000 €/an selon le devis prestataire de février 2026) est financé par le chiffre d'affaires généré et intégré au compte de résultat d'exploitation (voir Fiche 4), et non par l'enveloppe d'amorçage.</w:t>
      </w:r>
    </w:p>
    <w:p>
      <w:pPr>
        <w:spacing w:after="160" w:line="300"/>
      </w:pPr>
      <w:r>
        <w:rPr>
          <w:b/>
          <w:bCs/>
          <w:color w:val="222222"/>
          <w:sz w:val="21"/>
          <w:szCs w:val="21"/>
        </w:rPr>
        <w:t xml:space="preserve">Total Phase 1 : 28 000 € + 22 000 € + 32 000 € + 18 000 € = 100 000 €</w:t>
      </w:r>
    </w:p>
    <w:p>
      <w:pPr>
        <w:spacing w:after="200" w:line="280"/>
      </w:pPr>
      <w:r>
        <w:rPr>
          <w:i/>
          <w:iCs/>
          <w:color w:val="555555"/>
          <w:sz w:val="18"/>
          <w:szCs w:val="18"/>
        </w:rPr>
        <w:t xml:space="preserve">Hors périmètre de cette enveloppe : le véhicule utilitaire (Dacia Duster Hybrid, 33 713,76 € TTC, devis GBH du 04/03/2026), déjà engagé sur un financement dédié via le dispositif Girardin industriel / SOFIDOM, sans impact sur la trésorerie ni sur le prêt bancaire de la Phase 1.</w:t>
      </w:r>
    </w:p>
    <w:p>
      <w:pPr>
        <w:pStyle w:val="Heading2"/>
        <w:spacing w:after="140" w:before="320"/>
      </w:pPr>
      <w:r>
        <w:rPr>
          <w:b/>
          <w:bCs/>
          <w:color w:val="1F3B4D"/>
          <w:sz w:val="25"/>
          <w:szCs w:val="25"/>
        </w:rPr>
        <w:t xml:space="preserve">2.3 Plan de financement</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5760"/>
        <w:gridCol w:w="1800"/>
        <w:gridCol w:w="1800"/>
      </w:tblGrid>
      <w:tr>
        <w:trPr>
          <w:tblHeader/>
        </w:trPr>
        <w:tc>
          <w:tcPr>
            <w:tcW w:type="dxa" w:w="5760"/>
            <w:shd w:fill="1F3B4D" w:color="auto" w:val="clear"/>
            <w:tcMar>
              <w:top w:type="dxa" w:w="80"/>
              <w:left w:type="dxa" w:w="100"/>
              <w:bottom w:type="dxa" w:w="80"/>
              <w:right w:type="dxa" w:w="100"/>
            </w:tcMar>
            <w:vAlign w:val="center"/>
          </w:tcPr>
          <w:p>
            <w:r>
              <w:rPr>
                <w:b/>
                <w:bCs/>
                <w:color w:val="FFFFFF"/>
                <w:sz w:val="19"/>
                <w:szCs w:val="19"/>
              </w:rPr>
              <w:t xml:space="preserve">Source</w:t>
            </w:r>
          </w:p>
        </w:tc>
        <w:tc>
          <w:tcPr>
            <w:tcW w:type="dxa" w:w="1800"/>
            <w:shd w:fill="1F3B4D" w:color="auto" w:val="clear"/>
            <w:tcMar>
              <w:top w:type="dxa" w:w="80"/>
              <w:left w:type="dxa" w:w="100"/>
              <w:bottom w:type="dxa" w:w="80"/>
              <w:right w:type="dxa" w:w="100"/>
            </w:tcMar>
            <w:vAlign w:val="center"/>
          </w:tcPr>
          <w:p>
            <w:r>
              <w:rPr>
                <w:b/>
                <w:bCs/>
                <w:color w:val="FFFFFF"/>
                <w:sz w:val="19"/>
                <w:szCs w:val="19"/>
              </w:rPr>
              <w:t xml:space="preserve">Montant</w:t>
            </w:r>
          </w:p>
        </w:tc>
        <w:tc>
          <w:tcPr>
            <w:tcW w:type="dxa" w:w="1800"/>
            <w:shd w:fill="1F3B4D" w:color="auto" w:val="clear"/>
            <w:tcMar>
              <w:top w:type="dxa" w:w="80"/>
              <w:left w:type="dxa" w:w="100"/>
              <w:bottom w:type="dxa" w:w="80"/>
              <w:right w:type="dxa" w:w="100"/>
            </w:tcMar>
            <w:vAlign w:val="center"/>
          </w:tcPr>
          <w:p>
            <w:r>
              <w:rPr>
                <w:b/>
                <w:bCs/>
                <w:color w:val="FFFFFF"/>
                <w:sz w:val="19"/>
                <w:szCs w:val="19"/>
              </w:rPr>
              <w:t xml:space="preserve">Statut</w:t>
            </w:r>
          </w:p>
        </w:tc>
      </w:tr>
      <w:tr>
        <w:tc>
          <w:tcPr>
            <w:tcW w:type="dxa" w:w="5760"/>
            <w:shd w:fill="FFFFFF" w:color="auto" w:val="clear"/>
            <w:tcMar>
              <w:top w:type="dxa" w:w="70"/>
              <w:left w:type="dxa" w:w="100"/>
              <w:bottom w:type="dxa" w:w="70"/>
              <w:right w:type="dxa" w:w="100"/>
            </w:tcMar>
            <w:vAlign w:val="center"/>
          </w:tcPr>
          <w:p>
            <w:r>
              <w:rPr>
                <w:b/>
                <w:bCs/>
                <w:color w:val="222222"/>
                <w:sz w:val="19"/>
                <w:szCs w:val="19"/>
              </w:rPr>
              <w:t xml:space="preserve">Apports associés (numéraire 1 000 € + apport en nature honoraires juridiques 4 127 € + apport locataire Girardin véhicule 3 371 €)</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8 498 €</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 Réalisé</w:t>
            </w:r>
          </w:p>
        </w:tc>
      </w:tr>
      <w:tr>
        <w:tc>
          <w:tcPr>
            <w:tcW w:type="dxa" w:w="5760"/>
            <w:shd w:fill="F2ECE1" w:color="auto" w:val="clear"/>
            <w:tcMar>
              <w:top w:type="dxa" w:w="70"/>
              <w:left w:type="dxa" w:w="100"/>
              <w:bottom w:type="dxa" w:w="70"/>
              <w:right w:type="dxa" w:w="100"/>
            </w:tcMar>
            <w:vAlign w:val="center"/>
          </w:tcPr>
          <w:p>
            <w:r>
              <w:rPr>
                <w:b/>
                <w:bCs/>
                <w:color w:val="222222"/>
                <w:sz w:val="19"/>
                <w:szCs w:val="19"/>
              </w:rPr>
              <w:t xml:space="preserve">Prêt d'honneur France Active</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15 000 €</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En instruction</w:t>
            </w:r>
          </w:p>
        </w:tc>
      </w:tr>
      <w:tr>
        <w:tc>
          <w:tcPr>
            <w:tcW w:type="dxa" w:w="5760"/>
            <w:shd w:fill="FFFFFF" w:color="auto" w:val="clear"/>
            <w:tcMar>
              <w:top w:type="dxa" w:w="70"/>
              <w:left w:type="dxa" w:w="100"/>
              <w:bottom w:type="dxa" w:w="70"/>
              <w:right w:type="dxa" w:w="100"/>
            </w:tcMar>
            <w:vAlign w:val="center"/>
          </w:tcPr>
          <w:p>
            <w:r>
              <w:rPr>
                <w:b/>
                <w:bCs/>
                <w:color w:val="222222"/>
                <w:sz w:val="19"/>
                <w:szCs w:val="19"/>
              </w:rPr>
              <w:t xml:space="preserve">Prêt d'honneur Initiative Réunion</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15 000 €</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En instruction</w:t>
            </w:r>
          </w:p>
        </w:tc>
      </w:tr>
      <w:tr>
        <w:tc>
          <w:tcPr>
            <w:tcW w:type="dxa" w:w="5760"/>
            <w:shd w:fill="F2ECE1" w:color="auto" w:val="clear"/>
            <w:tcMar>
              <w:top w:type="dxa" w:w="70"/>
              <w:left w:type="dxa" w:w="100"/>
              <w:bottom w:type="dxa" w:w="70"/>
              <w:right w:type="dxa" w:w="100"/>
            </w:tcMar>
            <w:vAlign w:val="center"/>
          </w:tcPr>
          <w:p>
            <w:r>
              <w:rPr>
                <w:b/>
                <w:bCs/>
                <w:color w:val="222222"/>
                <w:sz w:val="19"/>
                <w:szCs w:val="19"/>
              </w:rPr>
              <w:t xml:space="preserve">Prêt bancaire professionnel (Crédit Agricole, 60 mois, taux visé 3,5 %)</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50 000 €</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En instruction</w:t>
            </w:r>
          </w:p>
        </w:tc>
      </w:tr>
      <w:tr>
        <w:tc>
          <w:tcPr>
            <w:tcW w:type="dxa" w:w="5760"/>
            <w:shd w:fill="FFFFFF" w:color="auto" w:val="clear"/>
            <w:tcMar>
              <w:top w:type="dxa" w:w="70"/>
              <w:left w:type="dxa" w:w="100"/>
              <w:bottom w:type="dxa" w:w="70"/>
              <w:right w:type="dxa" w:w="100"/>
            </w:tcMar>
            <w:vAlign w:val="center"/>
          </w:tcPr>
          <w:p>
            <w:r>
              <w:rPr>
                <w:b/>
                <w:bCs/>
                <w:color w:val="222222"/>
                <w:sz w:val="19"/>
                <w:szCs w:val="19"/>
              </w:rPr>
              <w:t xml:space="preserve">Complément recherché (renforcement du concours bancaire et/ou dispositif complémentaire, ex. Prêt d'Honneur Création FEDER-FSE+, jusqu'à 25 000 € à taux 0 %)</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11 502 €</w:t>
            </w:r>
          </w:p>
        </w:tc>
        <w:tc>
          <w:tcPr>
            <w:tcW w:type="dxa" w:w="1800"/>
            <w:shd w:fill="FFFFFF" w:color="auto" w:val="clear"/>
            <w:tcMar>
              <w:top w:type="dxa" w:w="70"/>
              <w:left w:type="dxa" w:w="100"/>
              <w:bottom w:type="dxa" w:w="70"/>
              <w:right w:type="dxa" w:w="100"/>
            </w:tcMar>
            <w:vAlign w:val="center"/>
          </w:tcPr>
          <w:p>
            <w:r>
              <w:rPr>
                <w:b w:val="false"/>
                <w:bCs w:val="false"/>
                <w:color w:val="222222"/>
                <w:sz w:val="19"/>
                <w:szCs w:val="19"/>
              </w:rPr>
              <w:t xml:space="preserve">À sécuriser</w:t>
            </w:r>
          </w:p>
        </w:tc>
      </w:tr>
      <w:tr>
        <w:tc>
          <w:tcPr>
            <w:tcW w:type="dxa" w:w="5760"/>
            <w:shd w:fill="F2ECE1" w:color="auto" w:val="clear"/>
            <w:tcMar>
              <w:top w:type="dxa" w:w="70"/>
              <w:left w:type="dxa" w:w="100"/>
              <w:bottom w:type="dxa" w:w="70"/>
              <w:right w:type="dxa" w:w="100"/>
            </w:tcMar>
            <w:vAlign w:val="center"/>
          </w:tcPr>
          <w:p>
            <w:r>
              <w:rPr>
                <w:b/>
                <w:bCs/>
                <w:color w:val="222222"/>
                <w:sz w:val="19"/>
                <w:szCs w:val="19"/>
              </w:rPr>
              <w:t xml:space="preserve">TOTAL</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100 000 €</w:t>
            </w:r>
          </w:p>
        </w:tc>
        <w:tc>
          <w:tcPr>
            <w:tcW w:type="dxa" w:w="1800"/>
            <w:shd w:fill="F2ECE1" w:color="auto" w:val="clear"/>
            <w:tcMar>
              <w:top w:type="dxa" w:w="70"/>
              <w:left w:type="dxa" w:w="100"/>
              <w:bottom w:type="dxa" w:w="70"/>
              <w:right w:type="dxa" w:w="100"/>
            </w:tcMar>
            <w:vAlign w:val="center"/>
          </w:tcPr>
          <w:p>
            <w:r>
              <w:rPr>
                <w:b w:val="false"/>
                <w:bCs w:val="false"/>
                <w:color w:val="222222"/>
                <w:sz w:val="19"/>
                <w:szCs w:val="19"/>
              </w:rPr>
              <w:t xml:space="preserve"/>
            </w:r>
          </w:p>
        </w:tc>
      </w:tr>
    </w:tbl>
    <w:p>
      <w:pPr>
        <w:spacing w:before="160"/>
      </w:pPr>
    </w:p>
    <w:p>
      <w:pPr>
        <w:spacing w:after="160" w:line="300"/>
      </w:pPr>
      <w:r>
        <w:rPr>
          <w:color w:val="222222"/>
          <w:sz w:val="21"/>
          <w:szCs w:val="21"/>
        </w:rPr>
        <w:t xml:space="preserve">Cofinancements complémentaires déjà activés en parallèle, sans impact sur le montage ci-dessus : subvention KAP TPE (7 705,06 € sur le matériel d'extraction/lyophilisation) et subvention KAP Numérique (3 200 € sur la création du site vitrine, 80 % d'un devis de 4 000 € HT).</w:t>
      </w:r>
    </w:p>
    <w:p>
      <w:pPr>
        <w:pStyle w:val="Heading2"/>
        <w:spacing w:after="140" w:before="320"/>
      </w:pPr>
      <w:r>
        <w:rPr>
          <w:b/>
          <w:bCs/>
          <w:color w:val="1F3B4D"/>
          <w:sz w:val="25"/>
          <w:szCs w:val="25"/>
        </w:rPr>
        <w:t xml:space="preserve">2.4 Argumentaire ciblé pour les financeurs</w:t>
      </w:r>
    </w:p>
    <w:p>
      <w:pPr>
        <w:pStyle w:val="Heading3"/>
        <w:spacing w:after="120" w:before="260"/>
      </w:pPr>
      <w:r>
        <w:rPr>
          <w:b/>
          <w:bCs/>
          <w:color w:val="9C6B2E"/>
          <w:sz w:val="23"/>
          <w:szCs w:val="23"/>
        </w:rPr>
        <w:t xml:space="preserve">Pour le partenaire bancaire</w:t>
      </w:r>
    </w:p>
    <w:p>
      <w:pPr>
        <w:pStyle w:val="ListParagraph"/>
        <w:numPr>
          <w:ilvl w:val="0"/>
          <w:numId w:val="1"/>
        </w:numPr>
        <w:spacing w:after="90" w:line="280"/>
      </w:pPr>
      <w:r>
        <w:rPr>
          <w:color w:val="222222"/>
          <w:sz w:val="21"/>
          <w:szCs w:val="21"/>
        </w:rPr>
        <w:t xml:space="preserve">Chiffre d'affaires dé-risqué par des engagements B2B confirmés (Hôtel Villa Delisle : contrat-cadre en 4 volets — fourniture régulière à 23 €/L HT, dépôt-vente sans risque de stock, événementiel de 160 € à 1 200 €+ par prestation, contenu croisé) et un pipeline qualifié de plus de 60 prospects CHR/cavistes/épiceries fines sur toute l'île.</w:t>
      </w:r>
    </w:p>
    <w:p>
      <w:pPr>
        <w:pStyle w:val="ListParagraph"/>
        <w:numPr>
          <w:ilvl w:val="0"/>
          <w:numId w:val="1"/>
        </w:numPr>
        <w:spacing w:after="90" w:line="280"/>
      </w:pPr>
      <w:r>
        <w:rPr>
          <w:color w:val="222222"/>
          <w:sz w:val="21"/>
          <w:szCs w:val="21"/>
        </w:rPr>
        <w:t xml:space="preserve">Marge brute élevée sur la transformation de produits bruts locaux : 68 % sur le prévisionnel actuel, portée à 76-81 % dès la montée en charge de l'extraction par ultrasons (le coût liquide au litre baisse de 43 à 55 % selon les formats grâce au procédé Hielscher).</w:t>
      </w:r>
    </w:p>
    <w:p>
      <w:pPr>
        <w:pStyle w:val="ListParagraph"/>
        <w:numPr>
          <w:ilvl w:val="0"/>
          <w:numId w:val="1"/>
        </w:numPr>
        <w:spacing w:after="90" w:line="280"/>
      </w:pPr>
      <w:r>
        <w:rPr>
          <w:color w:val="222222"/>
          <w:sz w:val="21"/>
          <w:szCs w:val="21"/>
        </w:rPr>
        <w:t xml:space="preserve">Charges fixes d'atelier contenues en Phase 1 — seuil de rentabilité théorique atteint dès le 68ᵉ jour d'exercice sur le prévisionnel Année 1.</w:t>
      </w:r>
    </w:p>
    <w:p>
      <w:pPr>
        <w:pStyle w:val="Heading3"/>
        <w:spacing w:after="120" w:before="260"/>
      </w:pPr>
      <w:r>
        <w:rPr>
          <w:b/>
          <w:bCs/>
          <w:color w:val="9C6B2E"/>
          <w:sz w:val="23"/>
          <w:szCs w:val="23"/>
        </w:rPr>
        <w:t xml:space="preserve">Pour France Active &amp; Initiative Réunion</w:t>
      </w:r>
    </w:p>
    <w:p>
      <w:pPr>
        <w:pStyle w:val="ListParagraph"/>
        <w:numPr>
          <w:ilvl w:val="0"/>
          <w:numId w:val="1"/>
        </w:numPr>
        <w:spacing w:after="90" w:line="280"/>
      </w:pPr>
      <w:r>
        <w:rPr>
          <w:color w:val="222222"/>
          <w:sz w:val="21"/>
          <w:szCs w:val="21"/>
        </w:rPr>
        <w:t xml:space="preserve">Valorisation des filières agricoles réunionnaises (fruits, plantes médicinales et épices péi, sucre de canne local).</w:t>
      </w:r>
    </w:p>
    <w:p>
      <w:pPr>
        <w:pStyle w:val="ListParagraph"/>
        <w:numPr>
          <w:ilvl w:val="0"/>
          <w:numId w:val="1"/>
        </w:numPr>
        <w:spacing w:after="90" w:line="280"/>
      </w:pPr>
      <w:r>
        <w:rPr>
          <w:color w:val="222222"/>
          <w:sz w:val="21"/>
          <w:szCs w:val="21"/>
        </w:rPr>
        <w:t xml:space="preserve">Substitution des produits importés (positionnement unique face aux sirops industriels tels que Monin, 1883 Maison Routin, Teisseire — aucun acteur n'occupe aujourd'hui le segment « artisanal + ancrage local + format professionnel CHR » à La Réunion).</w:t>
      </w:r>
    </w:p>
    <w:p>
      <w:pPr>
        <w:pStyle w:val="ListParagraph"/>
        <w:numPr>
          <w:ilvl w:val="0"/>
          <w:numId w:val="1"/>
        </w:numPr>
        <w:spacing w:after="90" w:line="280"/>
      </w:pPr>
      <w:r>
        <w:rPr>
          <w:color w:val="222222"/>
          <w:sz w:val="21"/>
          <w:szCs w:val="21"/>
        </w:rPr>
        <w:t xml:space="preserve">Démarche zéro déchet : deux recettes phares de la gamme Koso (La Cabosse Dorée, Le Marc Réveillé) revalorisent des co-produits industriels locaux — cosses de cacao (partenariat Le Passeur d'Arômes) et marc de café (partenariat ETC Réunion) — dans un cadre HACCP documenté (déclaration DDPP 974, seuil pH ≤ 4,0, titre alcoométrique &lt; 1,2 %).</w:t>
      </w:r>
    </w:p>
    <w:p>
      <w:pPr>
        <w:pStyle w:val="ListParagraph"/>
        <w:numPr>
          <w:ilvl w:val="0"/>
          <w:numId w:val="1"/>
        </w:numPr>
        <w:spacing w:after="90" w:line="280"/>
      </w:pPr>
      <w:r>
        <w:rPr>
          <w:color w:val="222222"/>
          <w:sz w:val="21"/>
          <w:szCs w:val="21"/>
        </w:rPr>
        <w:t xml:space="preserve">Création d'emplois pérennes : un poste d'alternant dès la Phase 1, avec une trajectoire de recrutement au fil de la montée en charge.</w:t>
      </w:r>
    </w:p>
    <w:p>
      <w:pPr>
        <w:pStyle w:val="Heading3"/>
        <w:spacing w:after="120" w:before="260"/>
      </w:pPr>
      <w:r>
        <w:rPr>
          <w:b/>
          <w:bCs/>
          <w:color w:val="9C6B2E"/>
          <w:sz w:val="23"/>
          <w:szCs w:val="23"/>
        </w:rPr>
        <w:t xml:space="preserve">Réponse aux objections</w:t>
      </w:r>
    </w:p>
    <w:p>
      <w:pPr>
        <w:spacing w:after="160" w:line="300"/>
      </w:pPr>
      <w:r>
        <w:rPr>
          <w:color w:val="222222"/>
          <w:sz w:val="21"/>
          <w:szCs w:val="21"/>
        </w:rPr>
        <w:t xml:space="preserve">La réévaluation à 100 k€ est motivée par la hausse immédiate des volumes B2B et par la fin de la mise à disposition temporaire du laboratoire partagé, qui rend l'atelier propre indispensable à la poursuite de l'activité — et non par un changement de modèle. La Maison Sir'Ose (Phase 2) fera l'objet d'un financement distinct afin de ne pas impacter le profil de risque de la banque en Phase 1.</w:t>
      </w:r>
    </w:p>
    <w:p>
      <w:pPr>
        <w:pStyle w:val="Heading1"/>
        <w:pBdr>
          <w:bottom w:val="single" w:color="9C6B2E" w:sz="6" w:space="4"/>
        </w:pBdr>
        <w:spacing w:after="200" w:before="400"/>
      </w:pPr>
      <w:r>
        <w:rPr>
          <w:b/>
          <w:bCs/>
          <w:color w:val="1F3B4D"/>
          <w:sz w:val="30"/>
          <w:szCs w:val="30"/>
        </w:rPr>
        <w:t xml:space="preserve">3. Fiches pour le Dossier de Business Plan</w:t>
      </w:r>
    </w:p>
    <w:p>
      <w:pPr>
        <w:pStyle w:val="Heading2"/>
        <w:spacing w:after="140" w:before="320"/>
      </w:pPr>
      <w:r>
        <w:rPr>
          <w:b/>
          <w:bCs/>
          <w:color w:val="1F3B4D"/>
          <w:sz w:val="25"/>
          <w:szCs w:val="25"/>
        </w:rPr>
        <w:t xml:space="preserve">Fiche 1 — Présentation de l'Équipe Dirigeante</w:t>
      </w:r>
    </w:p>
    <w:p>
      <w:pPr>
        <w:spacing w:after="160" w:line="300"/>
      </w:pPr>
      <w:r>
        <w:rPr>
          <w:b/>
          <w:bCs/>
          <w:color w:val="222222"/>
          <w:sz w:val="21"/>
          <w:szCs w:val="21"/>
        </w:rPr>
        <w:t xml:space="preserve">Alexandre Steiner — Directeur Général (30 % du capital)</w:t>
      </w:r>
      <w:r>
        <w:rPr>
          <w:color w:val="222222"/>
          <w:sz w:val="21"/>
          <w:szCs w:val="21"/>
        </w:rPr>
        <w:t xml:space="preserve">, 28 ans. Directeur Général de la SAS Sir'Ose depuis le 30 octobre 2025. Parcours professionnel dense et exclusivement orienté hôtellerie-restauration-mixologie à La Réunion et à Toulouse : chef pâtissier (Le 144, Saint-Denis ; Sarah Beach, Saint-Leu), barman et mixologue (L'Apoteek et Honey Night Club, Saint-Denis ; Golf Colorado Outside, Saint-Paul ; The Hopscotch, Toulouse), artiste photographe (Blackleg), conseiller vente (Biocoop Toulouse). Passages en mixologie chez Isautier / IAE Saint-Denis, Stella Matutina, Lux Saint-Gilles. Anglais et espagnol courants. Pilote la production, l'innovation produit (recettes Koso, procédés d'extraction par ultrasons et lyophilisation), la communication et l'image de marque.</w:t>
      </w:r>
    </w:p>
    <w:p>
      <w:pPr>
        <w:spacing w:after="160" w:line="300"/>
      </w:pPr>
      <w:r>
        <w:rPr>
          <w:b/>
          <w:bCs/>
          <w:color w:val="222222"/>
          <w:sz w:val="21"/>
          <w:szCs w:val="21"/>
        </w:rPr>
        <w:t xml:space="preserve">Lucien Moreau — Président (70 % du capital)</w:t>
      </w:r>
      <w:r>
        <w:rPr>
          <w:color w:val="222222"/>
          <w:sz w:val="21"/>
          <w:szCs w:val="21"/>
        </w:rPr>
        <w:t xml:space="preserve">, 20 ans. CAP Cuisine (C.I.F.A Auxerre, 2020-2022). Parcours en restauration et commerce : chef de cuisine et chef de partie (Bleu Canard / Pickles, Lille), opérateur de production (Action PLV), mandataire indépendant en marketing avec constitution d'un réseau de contacts en immobilier/hôtellerie/tourisme (Pass Magazine Réunion), employé polyvalent (Kabar). Pilote le développement commercial, la prospection B2B, la gestion administrative et financière.</w:t>
      </w:r>
    </w:p>
    <w:p>
      <w:pPr>
        <w:spacing w:after="160" w:line="300"/>
      </w:pPr>
      <w:r>
        <w:rPr>
          <w:b/>
          <w:bCs/>
          <w:color w:val="222222"/>
          <w:sz w:val="21"/>
          <w:szCs w:val="21"/>
        </w:rPr>
        <w:t xml:space="preserve">Synergie. </w:t>
      </w:r>
      <w:r>
        <w:rPr>
          <w:color w:val="222222"/>
          <w:sz w:val="21"/>
          <w:szCs w:val="21"/>
        </w:rPr>
        <w:t xml:space="preserve">Une alliance entre l'expertise technique/produit et relation client d'Alexandre Steiner et la rigueur commerciale et administrative de Lucien Moreau. Répartition hebdomadaire type : Alexandre en charge de la production (lundi et mercredi matin) et de la communication/R&amp;D ; Lucien en charge de l'administratif, de la prospection CHR (tournée du mardi) et des livraisons — un rythme de 40 à 45 heures par semaine et par associé en phase de lancement, avec un renfort d'équipe (alternant, puis embauches) prévu dès que le chiffre d'affaires le permet.</w:t>
      </w:r>
    </w:p>
    <w:p>
      <w:pPr>
        <w:pStyle w:val="Heading2"/>
        <w:spacing w:after="140" w:before="320"/>
      </w:pPr>
      <w:r>
        <w:rPr>
          <w:b/>
          <w:bCs/>
          <w:color w:val="1F3B4D"/>
          <w:sz w:val="25"/>
          <w:szCs w:val="25"/>
        </w:rPr>
        <w:t xml:space="preserve">Fiche 2 — Étude de Marché &amp; Positionnement</w:t>
      </w:r>
    </w:p>
    <w:p>
      <w:pPr>
        <w:spacing w:after="160" w:line="300"/>
      </w:pPr>
      <w:r>
        <w:rPr>
          <w:b/>
          <w:bCs/>
          <w:color w:val="222222"/>
          <w:sz w:val="21"/>
          <w:szCs w:val="21"/>
        </w:rPr>
        <w:t xml:space="preserve">Le marché. </w:t>
      </w:r>
      <w:r>
        <w:rPr>
          <w:color w:val="222222"/>
          <w:sz w:val="21"/>
          <w:szCs w:val="21"/>
        </w:rPr>
        <w:t xml:space="preserve">La Réunion compte environ 900 000 à 911 000 habitants et un flux touristique de l'ordre de 600 000 visiteurs par an, avec une progression du tourisme d'environ 8 % par an et une montée en gamme continue de l'hôtellerie locale. Le marché insulaire reste toutefois limité en taille absolue, avec un risque de saturation rapide du créneau « artisanal local » et une adoption historiquement lente des nouveautés par le circuit CHR — d'où l'importance de la vitesse d'installation de la marque.</w:t>
      </w:r>
    </w:p>
    <w:p>
      <w:pPr>
        <w:spacing w:after="160" w:line="300"/>
      </w:pPr>
      <w:r>
        <w:rPr>
          <w:b/>
          <w:bCs/>
          <w:color w:val="222222"/>
          <w:sz w:val="21"/>
          <w:szCs w:val="21"/>
        </w:rPr>
        <w:t xml:space="preserve">Le positionnement. </w:t>
      </w:r>
      <w:r>
        <w:rPr>
          <w:color w:val="222222"/>
          <w:sz w:val="21"/>
          <w:szCs w:val="21"/>
        </w:rPr>
        <w:t xml:space="preserve">Une cartographie concurrentielle en deux axes (industriel ↔ artisanal ; distribution nationale ↔ ancrage local) fait apparaître Sir'Ose comme le seul acteur du quadrant « artisanal + ancrage réunionnais + format professionnel CHR » — une zone aujourd'hui non disputée. Face aux leaders industriels du sirop CHR (Monin, 1883 Maison Routin, Teisseire — gammes larges, 5 à 15 € HT/70cl, aucune histoire de terroir réunionnais) et aux artisans locaux (ancrage fort mais sans calibrage professionnel CHR), Sir'Ose propose une gamme premium de sirops bruts et de boissons vivantes fermentées (Koso, 0,0 % alcool) élaborée à partir d'ingrédients locaux et de co-produits revalorisés (marcs de café, cosses de cacao, pulpes, plantes médicinales péi) — une alternative naturelle et haut de gamme aux sirops industriels importés, au format 12,5 cl (test/dégustation, 4 € TTC) et concentré professionnel au litre (23 € HT).</w:t>
      </w:r>
    </w:p>
    <w:p>
      <w:pPr>
        <w:spacing w:after="160" w:line="300"/>
      </w:pPr>
      <w:r>
        <w:rPr>
          <w:b/>
          <w:bCs/>
          <w:color w:val="222222"/>
          <w:sz w:val="21"/>
          <w:szCs w:val="21"/>
        </w:rPr>
        <w:t xml:space="preserve">La clientèle cible. </w:t>
      </w:r>
      <w:r>
        <w:rPr>
          <w:color w:val="222222"/>
          <w:sz w:val="21"/>
          <w:szCs w:val="21"/>
        </w:rPr>
        <w:t xml:space="preserve">Le persona principal identifié est le responsable bar/F&amp;B d'un établissement CHR haut de gamme réunionnais (28-42 ans, décideur autonome sous validation direction, panier moyen 150 à 400 €/mois) : en recherche d'une carte boissons différenciante à forte identité créole, frustré par le manque de fournisseurs locaux calibrés pour un usage professionnel, et dont le principal levier de décision est la dégustation en direct et la recommandation d'un confrère du secteur.</w:t>
      </w:r>
    </w:p>
    <w:p>
      <w:pPr>
        <w:pStyle w:val="Heading2"/>
        <w:spacing w:after="140" w:before="320"/>
      </w:pPr>
      <w:r>
        <w:rPr>
          <w:b/>
          <w:bCs/>
          <w:color w:val="1F3B4D"/>
          <w:sz w:val="25"/>
          <w:szCs w:val="25"/>
        </w:rPr>
        <w:t xml:space="preserve">Fiche 3 — Stratégie Commerciale &amp; Piliers de Revenus</w:t>
      </w:r>
    </w:p>
    <w:p>
      <w:pPr>
        <w:spacing w:after="160" w:line="300"/>
      </w:pPr>
      <w:r>
        <w:rPr>
          <w:b/>
          <w:bCs/>
          <w:color w:val="222222"/>
          <w:sz w:val="21"/>
          <w:szCs w:val="21"/>
        </w:rPr>
        <w:t xml:space="preserve">B2B Récurrent (Socle). </w:t>
      </w:r>
      <w:r>
        <w:rPr>
          <w:color w:val="222222"/>
          <w:sz w:val="21"/>
          <w:szCs w:val="21"/>
        </w:rPr>
        <w:t xml:space="preserve">L'Hôtel Villa Delisle (Saint-Pierre, 4 étoiles) est le premier client actif, structuré par un devis-cadre couvrant quatre volets monétisables : fourniture régulière de Koso concentré (23 €/L HT — première facture du 19 mai 2026, 8 L pour 187,86 € TTC), dépôt-vente en vitrine de l'hôtel (bouteilles 12,5 cl, zéro risque de stock pour l'établissement, reversement de 75 % du prix de vente à Sir'Ose), collaboration cuisine et sessions de contenu photo croisé. Ce modèle contractuel est conçu comme réplicable auprès du portefeuille de plus de 60 prospects déjà qualifiés (hôtels 4-5 étoiles, cavistes, épiceries fines, maisons artisanales sur l'ensemble de l'île), dont deux ont d'ores et déjà formalisé une lettre d'intention de référencement : La Cave Épicurienne (Saint-Pierre, mars 2026) et le Groupe Barry Connan (distribution insulaire, mars 2026).</w:t>
      </w:r>
    </w:p>
    <w:p>
      <w:pPr>
        <w:spacing w:after="160" w:line="300"/>
      </w:pPr>
      <w:r>
        <w:rPr>
          <w:b/>
          <w:bCs/>
          <w:color w:val="222222"/>
          <w:sz w:val="21"/>
          <w:szCs w:val="21"/>
        </w:rPr>
        <w:t xml:space="preserve">Événementiel &amp; Pop-ups. </w:t>
      </w:r>
      <w:r>
        <w:rPr>
          <w:color w:val="222222"/>
          <w:sz w:val="21"/>
          <w:szCs w:val="21"/>
        </w:rPr>
        <w:t xml:space="preserve">Animation de soirées de dégustation chez les partenaires CHR (formule « Découverte », 2h/30 personnes, à partir de 350 €) et de soirées thématiques immersives (formule « Signature », 3h/60 personnes, à partir de 650 €), jusqu'aux prestations corporate sur mesure (à partir de 1 200 €), ainsi que des ateliers découverte et masterclass (20 à 50 €/personne) — générant à la fois de la marge directe et de la notoriété.</w:t>
      </w:r>
    </w:p>
    <w:p>
      <w:pPr>
        <w:spacing w:after="160" w:line="300"/>
      </w:pPr>
      <w:r>
        <w:rPr>
          <w:b/>
          <w:bCs/>
          <w:color w:val="222222"/>
          <w:sz w:val="21"/>
          <w:szCs w:val="21"/>
        </w:rPr>
        <w:t xml:space="preserve">Vente Directe &amp; Coffrets. </w:t>
      </w:r>
      <w:r>
        <w:rPr>
          <w:color w:val="222222"/>
          <w:sz w:val="21"/>
          <w:szCs w:val="21"/>
        </w:rPr>
        <w:t xml:space="preserve">Gamme de format 12,5 cl en dépôt-vente et coffrets dégustation pour la clientèle B2C et les cadeaux d'affaires, distribués via le canal boutiques/épiceries artisanales et les marchés locaux.</w:t>
      </w:r>
    </w:p>
    <w:p>
      <w:pPr>
        <w:spacing w:after="160" w:line="300"/>
      </w:pPr>
      <w:r>
        <w:rPr>
          <w:b/>
          <w:bCs/>
          <w:color w:val="222222"/>
          <w:sz w:val="21"/>
          <w:szCs w:val="21"/>
        </w:rPr>
        <w:t xml:space="preserve">Communication. </w:t>
      </w:r>
      <w:r>
        <w:rPr>
          <w:color w:val="222222"/>
          <w:sz w:val="21"/>
          <w:szCs w:val="21"/>
        </w:rPr>
        <w:t xml:space="preserve">Stratégie pilotée en propre (Instagram sous la responsabilité d'Alexandre Steiner, LinkedIn sous celle de Lucien Moreau) et appuyée par un prestataire spécialisé pour professionnaliser l'image de la marque face à des acheteurs CHR exigeants sur le packaging et le discours de marque.</w:t>
      </w:r>
    </w:p>
    <w:p>
      <w:pPr>
        <w:pStyle w:val="Heading2"/>
        <w:spacing w:after="140" w:before="320"/>
      </w:pPr>
      <w:r>
        <w:rPr>
          <w:b/>
          <w:bCs/>
          <w:color w:val="1F3B4D"/>
          <w:sz w:val="25"/>
          <w:szCs w:val="25"/>
        </w:rPr>
        <w:t xml:space="preserve">Fiche 4 — Trajectoire Financière Prévisionnelle</w:t>
      </w:r>
    </w:p>
    <w:p>
      <w:pPr>
        <w:spacing w:after="160" w:line="300"/>
      </w:pPr>
      <w:r>
        <w:rPr>
          <w:color w:val="222222"/>
          <w:sz w:val="21"/>
          <w:szCs w:val="21"/>
        </w:rPr>
        <w:t xml:space="preserve">Sur la base du prévisionnel actuel de l'entreprise (avant refonte liée à l'enveloppe de 100 000 € et à la montée en puissance de l'extraction par ultrasons) :</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3560"/>
        <w:gridCol w:w="1930"/>
        <w:gridCol w:w="1930"/>
        <w:gridCol w:w="1940"/>
      </w:tblGrid>
      <w:tr>
        <w:trPr>
          <w:tblHeader/>
        </w:trPr>
        <w:tc>
          <w:tcPr>
            <w:tcW w:type="dxa" w:w="3560"/>
            <w:shd w:fill="1F3B4D" w:color="auto" w:val="clear"/>
            <w:tcMar>
              <w:top w:type="dxa" w:w="80"/>
              <w:left w:type="dxa" w:w="100"/>
              <w:bottom w:type="dxa" w:w="80"/>
              <w:right w:type="dxa" w:w="100"/>
            </w:tcMar>
            <w:vAlign w:val="center"/>
          </w:tcPr>
          <w:p>
            <w:r>
              <w:rPr>
                <w:b/>
                <w:bCs/>
                <w:color w:val="FFFFFF"/>
                <w:sz w:val="19"/>
                <w:szCs w:val="19"/>
              </w:rPr>
              <w:t xml:space="preserve">Indicateur</w:t>
            </w:r>
          </w:p>
        </w:tc>
        <w:tc>
          <w:tcPr>
            <w:tcW w:type="dxa" w:w="1930"/>
            <w:shd w:fill="1F3B4D" w:color="auto" w:val="clear"/>
            <w:tcMar>
              <w:top w:type="dxa" w:w="80"/>
              <w:left w:type="dxa" w:w="100"/>
              <w:bottom w:type="dxa" w:w="80"/>
              <w:right w:type="dxa" w:w="100"/>
            </w:tcMar>
            <w:vAlign w:val="center"/>
          </w:tcPr>
          <w:p>
            <w:r>
              <w:rPr>
                <w:b/>
                <w:bCs/>
                <w:color w:val="FFFFFF"/>
                <w:sz w:val="19"/>
                <w:szCs w:val="19"/>
              </w:rPr>
              <w:t xml:space="preserve">Année 1</w:t>
            </w:r>
          </w:p>
        </w:tc>
        <w:tc>
          <w:tcPr>
            <w:tcW w:type="dxa" w:w="1930"/>
            <w:shd w:fill="1F3B4D" w:color="auto" w:val="clear"/>
            <w:tcMar>
              <w:top w:type="dxa" w:w="80"/>
              <w:left w:type="dxa" w:w="100"/>
              <w:bottom w:type="dxa" w:w="80"/>
              <w:right w:type="dxa" w:w="100"/>
            </w:tcMar>
            <w:vAlign w:val="center"/>
          </w:tcPr>
          <w:p>
            <w:r>
              <w:rPr>
                <w:b/>
                <w:bCs/>
                <w:color w:val="FFFFFF"/>
                <w:sz w:val="19"/>
                <w:szCs w:val="19"/>
              </w:rPr>
              <w:t xml:space="preserve">Année 2</w:t>
            </w:r>
          </w:p>
        </w:tc>
        <w:tc>
          <w:tcPr>
            <w:tcW w:type="dxa" w:w="1940"/>
            <w:shd w:fill="1F3B4D" w:color="auto" w:val="clear"/>
            <w:tcMar>
              <w:top w:type="dxa" w:w="80"/>
              <w:left w:type="dxa" w:w="100"/>
              <w:bottom w:type="dxa" w:w="80"/>
              <w:right w:type="dxa" w:w="100"/>
            </w:tcMar>
            <w:vAlign w:val="center"/>
          </w:tcPr>
          <w:p>
            <w:r>
              <w:rPr>
                <w:b/>
                <w:bCs/>
                <w:color w:val="FFFFFF"/>
                <w:sz w:val="19"/>
                <w:szCs w:val="19"/>
              </w:rPr>
              <w:t xml:space="preserve">Année 3</w:t>
            </w:r>
          </w:p>
        </w:tc>
      </w:tr>
      <w:tr>
        <w:tc>
          <w:tcPr>
            <w:tcW w:type="dxa" w:w="3560"/>
            <w:shd w:fill="FFFFFF" w:color="auto" w:val="clear"/>
            <w:tcMar>
              <w:top w:type="dxa" w:w="70"/>
              <w:left w:type="dxa" w:w="100"/>
              <w:bottom w:type="dxa" w:w="70"/>
              <w:right w:type="dxa" w:w="100"/>
            </w:tcMar>
            <w:vAlign w:val="center"/>
          </w:tcPr>
          <w:p>
            <w:r>
              <w:rPr>
                <w:b/>
                <w:bCs/>
                <w:color w:val="222222"/>
                <w:sz w:val="19"/>
                <w:szCs w:val="19"/>
              </w:rPr>
              <w:t xml:space="preserve">Chiffre d'affaires HT</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179 464 €</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206 384 € (+15 %)</w:t>
            </w:r>
          </w:p>
        </w:tc>
        <w:tc>
          <w:tcPr>
            <w:tcW w:type="dxa" w:w="1940"/>
            <w:shd w:fill="FFFFFF" w:color="auto" w:val="clear"/>
            <w:tcMar>
              <w:top w:type="dxa" w:w="70"/>
              <w:left w:type="dxa" w:w="100"/>
              <w:bottom w:type="dxa" w:w="70"/>
              <w:right w:type="dxa" w:w="100"/>
            </w:tcMar>
            <w:vAlign w:val="center"/>
          </w:tcPr>
          <w:p>
            <w:r>
              <w:rPr>
                <w:b w:val="false"/>
                <w:bCs w:val="false"/>
                <w:color w:val="222222"/>
                <w:sz w:val="19"/>
                <w:szCs w:val="19"/>
              </w:rPr>
              <w:t xml:space="preserve">247 660 € (+20 %)</w:t>
            </w:r>
          </w:p>
        </w:tc>
      </w:tr>
      <w:tr>
        <w:tc>
          <w:tcPr>
            <w:tcW w:type="dxa" w:w="3560"/>
            <w:shd w:fill="F2ECE1" w:color="auto" w:val="clear"/>
            <w:tcMar>
              <w:top w:type="dxa" w:w="70"/>
              <w:left w:type="dxa" w:w="100"/>
              <w:bottom w:type="dxa" w:w="70"/>
              <w:right w:type="dxa" w:w="100"/>
            </w:tcMar>
            <w:vAlign w:val="center"/>
          </w:tcPr>
          <w:p>
            <w:r>
              <w:rPr>
                <w:b/>
                <w:bCs/>
                <w:color w:val="222222"/>
                <w:sz w:val="19"/>
                <w:szCs w:val="19"/>
              </w:rPr>
              <w:t xml:space="preserve">Marge brute</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130 944 € (68 %)</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150 586 € (68 %)</w:t>
            </w:r>
          </w:p>
        </w:tc>
        <w:tc>
          <w:tcPr>
            <w:tcW w:type="dxa" w:w="1940"/>
            <w:shd w:fill="F2ECE1" w:color="auto" w:val="clear"/>
            <w:tcMar>
              <w:top w:type="dxa" w:w="70"/>
              <w:left w:type="dxa" w:w="100"/>
              <w:bottom w:type="dxa" w:w="70"/>
              <w:right w:type="dxa" w:w="100"/>
            </w:tcMar>
            <w:vAlign w:val="center"/>
          </w:tcPr>
          <w:p>
            <w:r>
              <w:rPr>
                <w:b w:val="false"/>
                <w:bCs w:val="false"/>
                <w:color w:val="222222"/>
                <w:sz w:val="19"/>
                <w:szCs w:val="19"/>
              </w:rPr>
              <w:t xml:space="preserve">180 703 € (68 %)</w:t>
            </w:r>
          </w:p>
        </w:tc>
      </w:tr>
      <w:tr>
        <w:tc>
          <w:tcPr>
            <w:tcW w:type="dxa" w:w="3560"/>
            <w:shd w:fill="FFFFFF" w:color="auto" w:val="clear"/>
            <w:tcMar>
              <w:top w:type="dxa" w:w="70"/>
              <w:left w:type="dxa" w:w="100"/>
              <w:bottom w:type="dxa" w:w="70"/>
              <w:right w:type="dxa" w:w="100"/>
            </w:tcMar>
            <w:vAlign w:val="center"/>
          </w:tcPr>
          <w:p>
            <w:r>
              <w:rPr>
                <w:b/>
                <w:bCs/>
                <w:color w:val="222222"/>
                <w:sz w:val="19"/>
                <w:szCs w:val="19"/>
              </w:rPr>
              <w:t xml:space="preserve">Excédent brut d'exploitation (EBE)</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106 240 € (55 %)</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90 951 € (41 %)</w:t>
            </w:r>
          </w:p>
        </w:tc>
        <w:tc>
          <w:tcPr>
            <w:tcW w:type="dxa" w:w="1940"/>
            <w:shd w:fill="FFFFFF" w:color="auto" w:val="clear"/>
            <w:tcMar>
              <w:top w:type="dxa" w:w="70"/>
              <w:left w:type="dxa" w:w="100"/>
              <w:bottom w:type="dxa" w:w="70"/>
              <w:right w:type="dxa" w:w="100"/>
            </w:tcMar>
            <w:vAlign w:val="center"/>
          </w:tcPr>
          <w:p>
            <w:r>
              <w:rPr>
                <w:b w:val="false"/>
                <w:bCs w:val="false"/>
                <w:color w:val="222222"/>
                <w:sz w:val="19"/>
                <w:szCs w:val="19"/>
              </w:rPr>
              <w:t xml:space="preserve">94 489 € (36 %)</w:t>
            </w:r>
          </w:p>
        </w:tc>
      </w:tr>
      <w:tr>
        <w:tc>
          <w:tcPr>
            <w:tcW w:type="dxa" w:w="3560"/>
            <w:shd w:fill="F2ECE1" w:color="auto" w:val="clear"/>
            <w:tcMar>
              <w:top w:type="dxa" w:w="70"/>
              <w:left w:type="dxa" w:w="100"/>
              <w:bottom w:type="dxa" w:w="70"/>
              <w:right w:type="dxa" w:w="100"/>
            </w:tcMar>
            <w:vAlign w:val="center"/>
          </w:tcPr>
          <w:p>
            <w:r>
              <w:rPr>
                <w:b/>
                <w:bCs/>
                <w:color w:val="222222"/>
                <w:sz w:val="19"/>
                <w:szCs w:val="19"/>
              </w:rPr>
              <w:t xml:space="preserve">Résultat net comptable</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76 900 € (43 %)</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65 587 € (32 %)</w:t>
            </w:r>
          </w:p>
        </w:tc>
        <w:tc>
          <w:tcPr>
            <w:tcW w:type="dxa" w:w="1940"/>
            <w:shd w:fill="F2ECE1" w:color="auto" w:val="clear"/>
            <w:tcMar>
              <w:top w:type="dxa" w:w="70"/>
              <w:left w:type="dxa" w:w="100"/>
              <w:bottom w:type="dxa" w:w="70"/>
              <w:right w:type="dxa" w:w="100"/>
            </w:tcMar>
            <w:vAlign w:val="center"/>
          </w:tcPr>
          <w:p>
            <w:r>
              <w:rPr>
                <w:b w:val="false"/>
                <w:bCs w:val="false"/>
                <w:color w:val="222222"/>
                <w:sz w:val="19"/>
                <w:szCs w:val="19"/>
              </w:rPr>
              <w:t xml:space="preserve">68 571 € (28 %)</w:t>
            </w:r>
          </w:p>
        </w:tc>
      </w:tr>
      <w:tr>
        <w:tc>
          <w:tcPr>
            <w:tcW w:type="dxa" w:w="3560"/>
            <w:shd w:fill="FFFFFF" w:color="auto" w:val="clear"/>
            <w:tcMar>
              <w:top w:type="dxa" w:w="70"/>
              <w:left w:type="dxa" w:w="100"/>
              <w:bottom w:type="dxa" w:w="70"/>
              <w:right w:type="dxa" w:w="100"/>
            </w:tcMar>
            <w:vAlign w:val="center"/>
          </w:tcPr>
          <w:p>
            <w:r>
              <w:rPr>
                <w:b/>
                <w:bCs/>
                <w:color w:val="222222"/>
                <w:sz w:val="19"/>
                <w:szCs w:val="19"/>
              </w:rPr>
              <w:t xml:space="preserve">Besoin en fonds de roulement (BFR)</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16 833 €</w:t>
            </w:r>
          </w:p>
        </w:tc>
        <w:tc>
          <w:tcPr>
            <w:tcW w:type="dxa" w:w="1930"/>
            <w:shd w:fill="FFFFFF" w:color="auto" w:val="clear"/>
            <w:tcMar>
              <w:top w:type="dxa" w:w="70"/>
              <w:left w:type="dxa" w:w="100"/>
              <w:bottom w:type="dxa" w:w="70"/>
              <w:right w:type="dxa" w:w="100"/>
            </w:tcMar>
            <w:vAlign w:val="center"/>
          </w:tcPr>
          <w:p>
            <w:r>
              <w:rPr>
                <w:b w:val="false"/>
                <w:bCs w:val="false"/>
                <w:color w:val="222222"/>
                <w:sz w:val="19"/>
                <w:szCs w:val="19"/>
              </w:rPr>
              <w:t xml:space="preserve">19 358 €</w:t>
            </w:r>
          </w:p>
        </w:tc>
        <w:tc>
          <w:tcPr>
            <w:tcW w:type="dxa" w:w="1940"/>
            <w:shd w:fill="FFFFFF" w:color="auto" w:val="clear"/>
            <w:tcMar>
              <w:top w:type="dxa" w:w="70"/>
              <w:left w:type="dxa" w:w="100"/>
              <w:bottom w:type="dxa" w:w="70"/>
              <w:right w:type="dxa" w:w="100"/>
            </w:tcMar>
            <w:vAlign w:val="center"/>
          </w:tcPr>
          <w:p>
            <w:r>
              <w:rPr>
                <w:b w:val="false"/>
                <w:bCs w:val="false"/>
                <w:color w:val="222222"/>
                <w:sz w:val="19"/>
                <w:szCs w:val="19"/>
              </w:rPr>
              <w:t xml:space="preserve">23 229 €</w:t>
            </w:r>
          </w:p>
        </w:tc>
      </w:tr>
      <w:tr>
        <w:tc>
          <w:tcPr>
            <w:tcW w:type="dxa" w:w="3560"/>
            <w:shd w:fill="F2ECE1" w:color="auto" w:val="clear"/>
            <w:tcMar>
              <w:top w:type="dxa" w:w="70"/>
              <w:left w:type="dxa" w:w="100"/>
              <w:bottom w:type="dxa" w:w="70"/>
              <w:right w:type="dxa" w:w="100"/>
            </w:tcMar>
            <w:vAlign w:val="center"/>
          </w:tcPr>
          <w:p>
            <w:r>
              <w:rPr>
                <w:b/>
                <w:bCs/>
                <w:color w:val="222222"/>
                <w:sz w:val="19"/>
                <w:szCs w:val="19"/>
              </w:rPr>
              <w:t xml:space="preserve">Seuil de rentabilité</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36 122 € (68ᵉ jour)</w:t>
            </w:r>
          </w:p>
        </w:tc>
        <w:tc>
          <w:tcPr>
            <w:tcW w:type="dxa" w:w="1930"/>
            <w:shd w:fill="F2ECE1" w:color="auto" w:val="clear"/>
            <w:tcMar>
              <w:top w:type="dxa" w:w="70"/>
              <w:left w:type="dxa" w:w="100"/>
              <w:bottom w:type="dxa" w:w="70"/>
              <w:right w:type="dxa" w:w="100"/>
            </w:tcMar>
            <w:vAlign w:val="center"/>
          </w:tcPr>
          <w:p>
            <w:r>
              <w:rPr>
                <w:b w:val="false"/>
                <w:bCs w:val="false"/>
                <w:color w:val="222222"/>
                <w:sz w:val="19"/>
                <w:szCs w:val="19"/>
              </w:rPr>
              <w:t xml:space="preserve">87 197 € (143ᵉ jour)</w:t>
            </w:r>
          </w:p>
        </w:tc>
        <w:tc>
          <w:tcPr>
            <w:tcW w:type="dxa" w:w="1940"/>
            <w:shd w:fill="F2ECE1" w:color="auto" w:val="clear"/>
            <w:tcMar>
              <w:top w:type="dxa" w:w="70"/>
              <w:left w:type="dxa" w:w="100"/>
              <w:bottom w:type="dxa" w:w="70"/>
              <w:right w:type="dxa" w:w="100"/>
            </w:tcMar>
            <w:vAlign w:val="center"/>
          </w:tcPr>
          <w:p>
            <w:r>
              <w:rPr>
                <w:b w:val="false"/>
                <w:bCs w:val="false"/>
                <w:color w:val="222222"/>
                <w:sz w:val="19"/>
                <w:szCs w:val="19"/>
              </w:rPr>
              <w:t xml:space="preserve">126 060 € (172ᵉ jour)</w:t>
            </w:r>
          </w:p>
        </w:tc>
      </w:tr>
    </w:tbl>
    <w:p>
      <w:pPr>
        <w:spacing w:before="200"/>
      </w:pPr>
    </w:p>
    <w:p>
      <w:pPr>
        <w:spacing w:after="160" w:line="300"/>
      </w:pPr>
      <w:r>
        <w:rPr>
          <w:b/>
          <w:bCs/>
          <w:color w:val="222222"/>
          <w:sz w:val="21"/>
          <w:szCs w:val="21"/>
        </w:rPr>
        <w:t xml:space="preserve">Marge brute visée : &gt; 70 % </w:t>
      </w:r>
      <w:r>
        <w:rPr>
          <w:color w:val="222222"/>
          <w:sz w:val="21"/>
          <w:szCs w:val="21"/>
        </w:rPr>
        <w:t xml:space="preserve">à moyen terme grâce à la maîtrise des approvisionnements locaux et à la valorisation de la matière — l'extraction par ultrasons réduit déjà le coût liquide au litre de 43 à 55 % selon les formats sur les tests réalisés, portant la marge produit de 65-72 % à 76-81 % ; ce gain n'est pas encore pleinement intégré au tableau ci-dessus et constitue une marge de progression du prévisionnel Année 1.</w:t>
      </w:r>
    </w:p>
    <w:p>
      <w:pPr>
        <w:spacing w:after="160" w:line="300"/>
      </w:pPr>
      <w:r>
        <w:rPr>
          <w:b/>
          <w:bCs/>
          <w:color w:val="222222"/>
          <w:sz w:val="21"/>
          <w:szCs w:val="21"/>
        </w:rPr>
        <w:t xml:space="preserve">Seuil de rentabilité (point mort) : bas</w:t>
      </w:r>
      <w:r>
        <w:rPr>
          <w:color w:val="222222"/>
          <w:sz w:val="21"/>
          <w:szCs w:val="21"/>
        </w:rPr>
        <w:t xml:space="preserve">, atteignable dès le franchissement du cap des contrats B2B récurrents sécurisés (68ᵉ jour sur le scénario actuel).</w:t>
      </w:r>
    </w:p>
    <w:p>
      <w:pPr>
        <w:spacing w:after="160" w:line="300"/>
      </w:pPr>
      <w:r>
        <w:rPr>
          <w:b/>
          <w:bCs/>
          <w:color w:val="222222"/>
          <w:sz w:val="21"/>
          <w:szCs w:val="21"/>
        </w:rPr>
        <w:t xml:space="preserve">Trésorerie : point de vigilance et de justification de l'amorçage. </w:t>
      </w:r>
      <w:r>
        <w:rPr>
          <w:color w:val="222222"/>
          <w:sz w:val="21"/>
          <w:szCs w:val="21"/>
        </w:rPr>
        <w:t xml:space="preserve">Le compte professionnel de l'entreprise affichait un solde de 895,63 € au 1ᵉʳ janvier 2026, tombé à 56,34 € au 30 avril 2026, l'activité ayant jusqu'ici reposé sur un laboratoire partagé à coût quasi nul et sur des ventes encore ponctuelles. Le poste « Stock &amp; BFR initial » de 32 000 € (§2.2c) de la présente enveloppe d'amorçage est le coussin de sécurité qui doit permettre d'absorber le besoin en fonds de roulement au démarrage de l'atelier propre et de sécuriser les premiers mois de montée en charge commerciale.</w:t>
      </w:r>
    </w:p>
    <w:p>
      <w:pPr>
        <w:pStyle w:val="Heading1"/>
        <w:pBdr>
          <w:bottom w:val="single" w:color="9C6B2E" w:sz="6" w:space="4"/>
        </w:pBdr>
        <w:spacing w:after="200" w:before="400"/>
      </w:pPr>
      <w:r>
        <w:rPr>
          <w:b/>
          <w:bCs/>
          <w:color w:val="1F3B4D"/>
          <w:sz w:val="30"/>
          <w:szCs w:val="30"/>
        </w:rPr>
        <w:t xml:space="preserve">4. Perspectives : « Maison Sir'Ose » &amp; Voie Maritime</w:t>
      </w:r>
    </w:p>
    <w:p>
      <w:pPr>
        <w:spacing w:after="160" w:line="300"/>
      </w:pPr>
      <w:r>
        <w:rPr>
          <w:b/>
          <w:bCs/>
          <w:color w:val="222222"/>
          <w:sz w:val="21"/>
          <w:szCs w:val="21"/>
        </w:rPr>
        <w:t xml:space="preserve">Maison Sir'Ose (Phase 2). </w:t>
      </w:r>
      <w:r>
        <w:rPr>
          <w:color w:val="222222"/>
          <w:sz w:val="21"/>
          <w:szCs w:val="21"/>
        </w:rPr>
        <w:t xml:space="preserve">Tiers-lieu de 250 m² réunissant le labo de production, un café-vitrine, un hall d'exposition pour artistes locaux et un espace R&amp;D (transformation de la bagasse et du coco). L'option d'aménagement modulaire permettrait un démarrage rapide des activités pendant la rénovation d'un bâti créole réhabilité. Ce projet capitalise directement sur l'atelier de Phase 1 : c'est la preuve opérationnelle (conformité sanitaire, montée en volume, portefeuille B2B CHR élargi) qui rendra finançable ce second temps, via des subventions régionales/FEDER, une levée de fonds dédiée et l'autofinancement dégagé par la Phase 1. À ce stade, ni budget détaillé ni calendrier ferme n'ont encore été arrêtés — ce travail de chiffrage est la prochaine étape, une fois la Phase 1 engagée.</w:t>
      </w:r>
    </w:p>
    <w:p>
      <w:pPr>
        <w:spacing w:after="160" w:line="300"/>
      </w:pPr>
      <w:r>
        <w:rPr>
          <w:b/>
          <w:bCs/>
          <w:color w:val="222222"/>
          <w:sz w:val="21"/>
          <w:szCs w:val="21"/>
        </w:rPr>
        <w:t xml:space="preserve">Fret Maritime &amp; Programme LIFE (Phase 3). </w:t>
      </w:r>
      <w:r>
        <w:rPr>
          <w:color w:val="222222"/>
          <w:sz w:val="21"/>
          <w:szCs w:val="21"/>
        </w:rPr>
        <w:t xml:space="preserve">Solution de transport maritime décarboné par navettes électriques/hydrofoils pour contourner les embouteillages de la RN1, couplée à un observatoire sous-marin scientifique — un volet qui répondrait aux exigences de réplicabilité et d'impact environnemental du programme européen LIFE (subvention de 60 % à 75 %), porté en consortium maritime. Cet axe reste, à ce stade, un horizon stratégique de long terme formulé par les fondateurs, sans étude de faisabilité ni chiffrage engagés — à construire une fois la Maison Sir'Ose engagée et le modèle Phase 1/Phase 2 validé par l'exploitation.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2026-09-11T06:17:20.227Z</dcterms:created>
  <dcterms:modified xsi:type="dcterms:W3CDTF">2026-09-11T06:17:20.227Z</dcterms:modified>
</cp:coreProperties>
</file>

<file path=docProps/custom.xml><?xml version="1.0" encoding="utf-8"?>
<Properties xmlns="http://schemas.openxmlformats.org/officeDocument/2006/custom-properties" xmlns:vt="http://schemas.openxmlformats.org/officeDocument/2006/docPropsVTypes"/>
</file>