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B6914"/>
        </w:rPr>
        <w:t>LAVA-SA — Storevac — GSI Meeting</w:t>
      </w:r>
    </w:p>
    <w:p>
      <w:r>
        <w:rPr>
          <w:b/>
        </w:rPr>
        <w:t xml:space="preserve">Date: </w:t>
      </w:r>
      <w:r>
        <w:t xml:space="preserve">30 June 2026  |  </w:t>
      </w:r>
      <w:r>
        <w:rPr>
          <w:b/>
        </w:rPr>
        <w:t xml:space="preserve">Prepared for: </w:t>
      </w:r>
      <w:r>
        <w:t>Anneke Hofmeyr</w:t>
      </w:r>
    </w:p>
    <w:p>
      <w:r>
        <w:rPr>
          <w:b/>
        </w:rPr>
        <w:t xml:space="preserve">Launch status: </w:t>
      </w:r>
      <w:r>
        <w:t>Website launch is POSTPONED until after the follow-up meeting next Tuesday. All items below should be completed and verified before go-live.</w:t>
      </w:r>
    </w:p>
    <w:p>
      <w:pPr>
        <w:pStyle w:val="Heading1"/>
      </w:pPr>
      <w:r>
        <w:t>Meeting summary</w:t>
      </w:r>
    </w:p>
    <w:p>
      <w:r>
        <w:t>The session covered e-commerce funnel logic, review system improvements, navigation and categorisation fixes, shipping policy updates, and legal document review. Payment options remain EFT and PayFast, with PayFast preferred as the default checkout option.</w:t>
      </w:r>
    </w:p>
    <w:p>
      <w:pPr>
        <w:pStyle w:val="Heading1"/>
      </w:pPr>
      <w:r>
        <w:t>High priority — Product review system</w:t>
      </w:r>
    </w:p>
    <w:p>
      <w:pPr>
        <w:pStyle w:val="IntenseQuote"/>
      </w:pPr>
      <w:r>
        <w:t>Anneke flagged review discoverability and correct product mapping as critical before launch.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FFFF"/>
              </w:rPr>
              <w:t>#</w:t>
            </w:r>
          </w:p>
        </w:tc>
        <w:tc>
          <w:tcPr>
            <w:tcW w:type="dxa" w:w="2160"/>
          </w:tcPr>
          <w:p>
            <w:r>
              <w:rPr>
                <w:b/>
                <w:color w:val="FFFFFF"/>
              </w:rPr>
              <w:t>Task</w:t>
            </w:r>
          </w:p>
        </w:tc>
        <w:tc>
          <w:tcPr>
            <w:tcW w:type="dxa" w:w="2160"/>
          </w:tcPr>
          <w:p>
            <w:r>
              <w:rPr>
                <w:b/>
                <w:color w:val="FFFFFF"/>
              </w:rPr>
              <w:t>Owner</w:t>
            </w:r>
          </w:p>
        </w:tc>
        <w:tc>
          <w:tcPr>
            <w:tcW w:type="dxa" w:w="2160"/>
          </w:tcPr>
          <w:p>
            <w:r>
              <w:rPr>
                <w:b/>
                <w:color w:val="FFFFFF"/>
              </w:rPr>
              <w:t>Notes</w:t>
            </w:r>
          </w:p>
        </w:tc>
      </w:tr>
      <w:tr>
        <w:tc>
          <w:tcPr>
            <w:tcW w:type="dxa" w:w="2160"/>
          </w:tcPr>
          <w:p>
            <w:r>
              <w:t>R1</w:t>
            </w:r>
          </w:p>
        </w:tc>
        <w:tc>
          <w:tcPr>
            <w:tcW w:type="dxa" w:w="2160"/>
          </w:tcPr>
          <w:p>
            <w:r>
              <w:t>Fix review rejection — rejected reviews must be fully removed</w:t>
            </w:r>
          </w:p>
        </w:tc>
        <w:tc>
          <w:tcPr>
            <w:tcW w:type="dxa" w:w="2160"/>
          </w:tcPr>
          <w:p>
            <w:r>
              <w:t>Ignatius</w:t>
            </w:r>
          </w:p>
        </w:tc>
        <w:tc>
          <w:tcPr>
            <w:tcW w:type="dxa" w:w="2160"/>
          </w:tcPr>
          <w:p>
            <w:r>
              <w:t>Bug confirmed in admin</w:t>
            </w:r>
          </w:p>
        </w:tc>
      </w:tr>
      <w:tr>
        <w:tc>
          <w:tcPr>
            <w:tcW w:type="dxa" w:w="2160"/>
          </w:tcPr>
          <w:p>
            <w:r>
              <w:t>R2</w:t>
            </w:r>
          </w:p>
        </w:tc>
        <w:tc>
          <w:tcPr>
            <w:tcW w:type="dxa" w:w="2160"/>
          </w:tcPr>
          <w:p>
            <w:r>
              <w:t>Map reviews to products — link each submission to specific product/machine</w:t>
            </w:r>
          </w:p>
        </w:tc>
        <w:tc>
          <w:tcPr>
            <w:tcW w:type="dxa" w:w="2160"/>
          </w:tcPr>
          <w:p>
            <w:r>
              <w:t>Ignatius</w:t>
            </w:r>
          </w:p>
        </w:tc>
        <w:tc>
          <w:tcPr>
            <w:tcW w:type="dxa" w:w="2160"/>
          </w:tcPr>
          <w:p>
            <w:r>
              <w:t>Not general-only</w:t>
            </w:r>
          </w:p>
        </w:tc>
      </w:tr>
      <w:tr>
        <w:tc>
          <w:tcPr>
            <w:tcW w:type="dxa" w:w="2160"/>
          </w:tcPr>
          <w:p>
            <w:r>
              <w:t>R3</w:t>
            </w:r>
          </w:p>
        </w:tc>
        <w:tc>
          <w:tcPr>
            <w:tcW w:type="dxa" w:w="2160"/>
          </w:tcPr>
          <w:p>
            <w:r>
              <w:t>Update general review form — required product/machine selector</w:t>
            </w:r>
          </w:p>
        </w:tc>
        <w:tc>
          <w:tcPr>
            <w:tcW w:type="dxa" w:w="2160"/>
          </w:tcPr>
          <w:p>
            <w:r>
              <w:t>Ignatius</w:t>
            </w:r>
          </w:p>
        </w:tc>
        <w:tc>
          <w:tcPr>
            <w:tcW w:type="dxa" w:w="2160"/>
          </w:tcPr>
          <w:p>
            <w:r>
              <w:t>Improves mapping</w:t>
            </w:r>
          </w:p>
        </w:tc>
      </w:tr>
      <w:tr>
        <w:tc>
          <w:tcPr>
            <w:tcW w:type="dxa" w:w="2160"/>
          </w:tcPr>
          <w:p>
            <w:r>
              <w:t>R4</w:t>
            </w:r>
          </w:p>
        </w:tc>
        <w:tc>
          <w:tcPr>
            <w:tcW w:type="dxa" w:w="2160"/>
          </w:tcPr>
          <w:p>
            <w:r>
              <w:t>Add header button — gold “Write your review” after “Lava TV”</w:t>
            </w:r>
          </w:p>
        </w:tc>
        <w:tc>
          <w:tcPr>
            <w:tcW w:type="dxa" w:w="2160"/>
          </w:tcPr>
          <w:p>
            <w:r>
              <w:t>Ignatius</w:t>
            </w:r>
          </w:p>
        </w:tc>
        <w:tc>
          <w:tcPr>
            <w:tcW w:type="dxa" w:w="2160"/>
          </w:tcPr>
          <w:p>
            <w:r>
              <w:t>Discoverability</w:t>
            </w:r>
          </w:p>
        </w:tc>
      </w:tr>
      <w:tr>
        <w:tc>
          <w:tcPr>
            <w:tcW w:type="dxa" w:w="2160"/>
          </w:tcPr>
          <w:p>
            <w:r>
              <w:t>R5</w:t>
            </w:r>
          </w:p>
        </w:tc>
        <w:tc>
          <w:tcPr>
            <w:tcW w:type="dxa" w:w="2160"/>
          </w:tcPr>
          <w:p>
            <w:r>
              <w:t>Review buttons on all relevant product pages</w:t>
            </w:r>
          </w:p>
        </w:tc>
        <w:tc>
          <w:tcPr>
            <w:tcW w:type="dxa" w:w="2160"/>
          </w:tcPr>
          <w:p>
            <w:r>
              <w:t>Ignatius</w:t>
            </w:r>
          </w:p>
        </w:tc>
        <w:tc>
          <w:tcPr>
            <w:tcW w:type="dxa" w:w="2160"/>
          </w:tcPr>
          <w:p>
            <w:r>
              <w:t>Meeting next steps</w:t>
            </w:r>
          </w:p>
        </w:tc>
      </w:tr>
      <w:tr>
        <w:tc>
          <w:tcPr>
            <w:tcW w:type="dxa" w:w="2160"/>
          </w:tcPr>
          <w:p>
            <w:r>
              <w:t>R6</w:t>
            </w:r>
          </w:p>
        </w:tc>
        <w:tc>
          <w:tcPr>
            <w:tcW w:type="dxa" w:w="2160"/>
          </w:tcPr>
          <w:p>
            <w:r>
              <w:t>Enable review email notifications for new submissions</w:t>
            </w:r>
          </w:p>
        </w:tc>
        <w:tc>
          <w:tcPr>
            <w:tcW w:type="dxa" w:w="2160"/>
          </w:tcPr>
          <w:p>
            <w:r>
              <w:t>Ignatius</w:t>
            </w:r>
          </w:p>
        </w:tc>
        <w:tc>
          <w:tcPr>
            <w:tcW w:type="dxa" w:w="2160"/>
          </w:tcPr>
          <w:p>
            <w:r>
              <w:t>Decision aligned</w:t>
            </w:r>
          </w:p>
        </w:tc>
      </w:tr>
      <w:tr>
        <w:tc>
          <w:tcPr>
            <w:tcW w:type="dxa" w:w="2160"/>
          </w:tcPr>
          <w:p>
            <w:r>
              <w:t>R7</w:t>
            </w:r>
          </w:p>
        </w:tc>
        <w:tc>
          <w:tcPr>
            <w:tcW w:type="dxa" w:w="2160"/>
          </w:tcPr>
          <w:p>
            <w:r>
              <w:t>Investigate missing George Archer review</w:t>
            </w:r>
          </w:p>
        </w:tc>
        <w:tc>
          <w:tcPr>
            <w:tcW w:type="dxa" w:w="2160"/>
          </w:tcPr>
          <w:p>
            <w:r>
              <w:t>Ignatius</w:t>
            </w:r>
          </w:p>
        </w:tc>
        <w:tc>
          <w:tcPr>
            <w:tcW w:type="dxa" w:w="2160"/>
          </w:tcPr>
          <w:p>
            <w:r>
              <w:t>Approved but not found</w:t>
            </w:r>
          </w:p>
        </w:tc>
      </w:tr>
      <w:tr>
        <w:tc>
          <w:tcPr>
            <w:tcW w:type="dxa" w:w="2160"/>
          </w:tcPr>
          <w:p>
            <w:r>
              <w:t>R8</w:t>
            </w:r>
          </w:p>
        </w:tc>
        <w:tc>
          <w:tcPr>
            <w:tcW w:type="dxa" w:w="2160"/>
          </w:tcPr>
          <w:p>
            <w:r>
              <w:t>End-to-end review verification — correct product/department</w:t>
            </w:r>
          </w:p>
        </w:tc>
        <w:tc>
          <w:tcPr>
            <w:tcW w:type="dxa" w:w="2160"/>
          </w:tcPr>
          <w:p>
            <w:r>
              <w:t>Ignatius</w:t>
            </w:r>
          </w:p>
        </w:tc>
        <w:tc>
          <w:tcPr>
            <w:tcW w:type="dxa" w:w="2160"/>
          </w:tcPr>
          <w:p>
            <w:r>
              <w:t>QA after fixes</w:t>
            </w:r>
          </w:p>
        </w:tc>
      </w:tr>
    </w:tbl>
    <w:p/>
    <w:p>
      <w:pPr>
        <w:pStyle w:val="Heading2"/>
      </w:pPr>
      <w:r>
        <w:t>Suggested review QA checklist</w:t>
      </w:r>
    </w:p>
    <w:p>
      <w:pPr>
        <w:pStyle w:val="ListNumber"/>
      </w:pPr>
      <w:r>
        <w:t>Submit via header button — form includes product selector.</w:t>
      </w:r>
    </w:p>
    <w:p>
      <w:pPr>
        <w:pStyle w:val="ListNumber"/>
      </w:pPr>
      <w:r>
        <w:t>Submit from product page — auto-links to that product.</w:t>
      </w:r>
    </w:p>
    <w:p>
      <w:pPr>
        <w:pStyle w:val="ListNumber"/>
      </w:pPr>
      <w:r>
        <w:t>Approve in admin — appears on correct product/section.</w:t>
      </w:r>
    </w:p>
    <w:p>
      <w:pPr>
        <w:pStyle w:val="ListNumber"/>
      </w:pPr>
      <w:r>
        <w:t>Reject in admin — fully removed everywhere.</w:t>
      </w:r>
    </w:p>
    <w:p>
      <w:pPr>
        <w:pStyle w:val="ListNumber"/>
      </w:pPr>
      <w:r>
        <w:t>Notification email received by team.</w:t>
      </w:r>
    </w:p>
    <w:p>
      <w:pPr>
        <w:pStyle w:val="Heading1"/>
      </w:pPr>
      <w:r>
        <w:t>High priority — E-commerce &amp; cart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FFFF"/>
              </w:rPr>
              <w:t>#</w:t>
            </w:r>
          </w:p>
        </w:tc>
        <w:tc>
          <w:tcPr>
            <w:tcW w:type="dxa" w:w="2160"/>
          </w:tcPr>
          <w:p>
            <w:r>
              <w:rPr>
                <w:b/>
                <w:color w:val="FFFFFF"/>
              </w:rPr>
              <w:t>Task</w:t>
            </w:r>
          </w:p>
        </w:tc>
        <w:tc>
          <w:tcPr>
            <w:tcW w:type="dxa" w:w="2160"/>
          </w:tcPr>
          <w:p>
            <w:r>
              <w:rPr>
                <w:b/>
                <w:color w:val="FFFFFF"/>
              </w:rPr>
              <w:t>Owner</w:t>
            </w:r>
          </w:p>
        </w:tc>
        <w:tc>
          <w:tcPr>
            <w:tcW w:type="dxa" w:w="2160"/>
          </w:tcPr>
          <w:p>
            <w:r>
              <w:rPr>
                <w:b/>
                <w:color w:val="FFFFFF"/>
              </w:rPr>
              <w:t>Notes</w:t>
            </w:r>
          </w:p>
        </w:tc>
      </w:tr>
      <w:tr>
        <w:tc>
          <w:tcPr>
            <w:tcW w:type="dxa" w:w="2160"/>
          </w:tcPr>
          <w:p>
            <w:r>
              <w:t>E1</w:t>
            </w:r>
          </w:p>
        </w:tc>
        <w:tc>
          <w:tcPr>
            <w:tcW w:type="dxa" w:w="2160"/>
          </w:tcPr>
          <w:p>
            <w:r>
              <w:t>Fix discount bug — 10% removed when machine leaves cart</w:t>
            </w:r>
          </w:p>
        </w:tc>
        <w:tc>
          <w:tcPr>
            <w:tcW w:type="dxa" w:w="2160"/>
          </w:tcPr>
          <w:p>
            <w:r>
              <w:t>Ignatius</w:t>
            </w:r>
          </w:p>
        </w:tc>
        <w:tc>
          <w:tcPr>
            <w:tcW w:type="dxa" w:w="2160"/>
          </w:tcPr>
          <w:p>
            <w:r>
              <w:t>Demo’d live</w:t>
            </w:r>
          </w:p>
        </w:tc>
      </w:tr>
      <w:tr>
        <w:tc>
          <w:tcPr>
            <w:tcW w:type="dxa" w:w="2160"/>
          </w:tcPr>
          <w:p>
            <w:r>
              <w:t>E2</w:t>
            </w:r>
          </w:p>
        </w:tc>
        <w:tc>
          <w:tcPr>
            <w:tcW w:type="dxa" w:w="2160"/>
          </w:tcPr>
          <w:p>
            <w:r>
              <w:t>Default payment to PayFast (EFT still available)</w:t>
            </w:r>
          </w:p>
        </w:tc>
        <w:tc>
          <w:tcPr>
            <w:tcW w:type="dxa" w:w="2160"/>
          </w:tcPr>
          <w:p>
            <w:r>
              <w:t>Ignatius</w:t>
            </w:r>
          </w:p>
        </w:tc>
        <w:tc>
          <w:tcPr>
            <w:tcW w:type="dxa" w:w="2160"/>
          </w:tcPr>
          <w:p>
            <w:r>
              <w:t>Anneke request</w:t>
            </w:r>
          </w:p>
        </w:tc>
      </w:tr>
    </w:tbl>
    <w:p/>
    <w:p>
      <w:pPr>
        <w:pStyle w:val="Heading1"/>
      </w:pPr>
      <w:r>
        <w:t>Navigation, catalog &amp; content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FFFF"/>
              </w:rPr>
              <w:t>#</w:t>
            </w:r>
          </w:p>
        </w:tc>
        <w:tc>
          <w:tcPr>
            <w:tcW w:type="dxa" w:w="2160"/>
          </w:tcPr>
          <w:p>
            <w:r>
              <w:rPr>
                <w:b/>
                <w:color w:val="FFFFFF"/>
              </w:rPr>
              <w:t>Task</w:t>
            </w:r>
          </w:p>
        </w:tc>
        <w:tc>
          <w:tcPr>
            <w:tcW w:type="dxa" w:w="2160"/>
          </w:tcPr>
          <w:p>
            <w:r>
              <w:rPr>
                <w:b/>
                <w:color w:val="FFFFFF"/>
              </w:rPr>
              <w:t>Owner</w:t>
            </w:r>
          </w:p>
        </w:tc>
        <w:tc>
          <w:tcPr>
            <w:tcW w:type="dxa" w:w="2160"/>
          </w:tcPr>
          <w:p>
            <w:r>
              <w:rPr>
                <w:b/>
                <w:color w:val="FFFFFF"/>
              </w:rPr>
              <w:t>Notes</w:t>
            </w:r>
          </w:p>
        </w:tc>
      </w:tr>
      <w:tr>
        <w:tc>
          <w:tcPr>
            <w:tcW w:type="dxa" w:w="2160"/>
          </w:tcPr>
          <w:p>
            <w:r>
              <w:t>N1</w:t>
            </w:r>
          </w:p>
        </w:tc>
        <w:tc>
          <w:tcPr>
            <w:tcW w:type="dxa" w:w="2160"/>
          </w:tcPr>
          <w:p>
            <w:r>
              <w:t>Remove “Bundle deals” — keep “Special offers” only</w:t>
            </w:r>
          </w:p>
        </w:tc>
        <w:tc>
          <w:tcPr>
            <w:tcW w:type="dxa" w:w="2160"/>
          </w:tcPr>
          <w:p>
            <w:r>
              <w:t>Ignatius</w:t>
            </w:r>
          </w:p>
        </w:tc>
        <w:tc>
          <w:tcPr>
            <w:tcW w:type="dxa" w:w="2160"/>
          </w:tcPr>
          <w:p>
            <w:r>
              <w:t>Avoid duplication</w:t>
            </w:r>
          </w:p>
        </w:tc>
      </w:tr>
      <w:tr>
        <w:tc>
          <w:tcPr>
            <w:tcW w:type="dxa" w:w="2160"/>
          </w:tcPr>
          <w:p>
            <w:r>
              <w:t>N2</w:t>
            </w:r>
          </w:p>
        </w:tc>
        <w:tc>
          <w:tcPr>
            <w:tcW w:type="dxa" w:w="2160"/>
          </w:tcPr>
          <w:p>
            <w:r>
              <w:t>Move scale from Hanging systems → Scales</w:t>
            </w:r>
          </w:p>
        </w:tc>
        <w:tc>
          <w:tcPr>
            <w:tcW w:type="dxa" w:w="2160"/>
          </w:tcPr>
          <w:p>
            <w:r>
              <w:t>Ignatius</w:t>
            </w:r>
          </w:p>
        </w:tc>
        <w:tc>
          <w:tcPr>
            <w:tcW w:type="dxa" w:w="2160"/>
          </w:tcPr>
          <w:p>
            <w:r>
              <w:t>Categorisation fix</w:t>
            </w:r>
          </w:p>
        </w:tc>
      </w:tr>
      <w:tr>
        <w:tc>
          <w:tcPr>
            <w:tcW w:type="dxa" w:w="2160"/>
          </w:tcPr>
          <w:p>
            <w:r>
              <w:t>N3</w:t>
            </w:r>
          </w:p>
        </w:tc>
        <w:tc>
          <w:tcPr>
            <w:tcW w:type="dxa" w:w="2160"/>
          </w:tcPr>
          <w:p>
            <w:r>
              <w:t>Rename “Vacuum packaging” → “Vacuum packing”</w:t>
            </w:r>
          </w:p>
        </w:tc>
        <w:tc>
          <w:tcPr>
            <w:tcW w:type="dxa" w:w="2160"/>
          </w:tcPr>
          <w:p>
            <w:r>
              <w:t>Ignatius</w:t>
            </w:r>
          </w:p>
        </w:tc>
        <w:tc>
          <w:tcPr>
            <w:tcW w:type="dxa" w:w="2160"/>
          </w:tcPr>
          <w:p>
            <w:r>
              <w:t>Confirm if still required</w:t>
            </w:r>
          </w:p>
        </w:tc>
      </w:tr>
      <w:tr>
        <w:tc>
          <w:tcPr>
            <w:tcW w:type="dxa" w:w="2160"/>
          </w:tcPr>
          <w:p>
            <w:r>
              <w:t>N4</w:t>
            </w:r>
          </w:p>
        </w:tc>
        <w:tc>
          <w:tcPr>
            <w:tcW w:type="dxa" w:w="2160"/>
          </w:tcPr>
          <w:p>
            <w:r>
              <w:t>Remove “Price, shipping &amp; returns” button</w:t>
            </w:r>
          </w:p>
        </w:tc>
        <w:tc>
          <w:tcPr>
            <w:tcW w:type="dxa" w:w="2160"/>
          </w:tcPr>
          <w:p>
            <w:r>
              <w:t>Anneke</w:t>
            </w:r>
          </w:p>
        </w:tc>
        <w:tc>
          <w:tcPr>
            <w:tcW w:type="dxa" w:w="2160"/>
          </w:tcPr>
          <w:p>
            <w:r>
              <w:t>Nav cleanup</w:t>
            </w:r>
          </w:p>
        </w:tc>
      </w:tr>
      <w:tr>
        <w:tc>
          <w:tcPr>
            <w:tcW w:type="dxa" w:w="2160"/>
          </w:tcPr>
          <w:p>
            <w:r>
              <w:t>N5</w:t>
            </w:r>
          </w:p>
        </w:tc>
        <w:tc>
          <w:tcPr>
            <w:tcW w:type="dxa" w:w="2160"/>
          </w:tcPr>
          <w:p>
            <w:r>
              <w:t>New professional photos for vacuum lid products</w:t>
            </w:r>
          </w:p>
        </w:tc>
        <w:tc>
          <w:tcPr>
            <w:tcW w:type="dxa" w:w="2160"/>
          </w:tcPr>
          <w:p>
            <w:r>
              <w:t>Anneke</w:t>
            </w:r>
          </w:p>
        </w:tc>
        <w:tc>
          <w:tcPr>
            <w:tcW w:type="dxa" w:w="2160"/>
          </w:tcPr>
          <w:p>
            <w:r>
              <w:t>4L SS discontinued</w:t>
            </w:r>
          </w:p>
        </w:tc>
      </w:tr>
      <w:tr>
        <w:tc>
          <w:tcPr>
            <w:tcW w:type="dxa" w:w="2160"/>
          </w:tcPr>
          <w:p>
            <w:r>
              <w:t>N6</w:t>
            </w:r>
          </w:p>
        </w:tc>
        <w:tc>
          <w:tcPr>
            <w:tcW w:type="dxa" w:w="2160"/>
          </w:tcPr>
          <w:p>
            <w:r>
              <w:t>Identify out-of-stock container sizes</w:t>
            </w:r>
          </w:p>
        </w:tc>
        <w:tc>
          <w:tcPr>
            <w:tcW w:type="dxa" w:w="2160"/>
          </w:tcPr>
          <w:p>
            <w:r>
              <w:t>Anneke</w:t>
            </w:r>
          </w:p>
        </w:tc>
        <w:tc>
          <w:tcPr>
            <w:tcW w:type="dxa" w:w="2160"/>
          </w:tcPr>
          <w:p>
            <w:r>
              <w:t>Site + Storevac</w:t>
            </w:r>
          </w:p>
        </w:tc>
      </w:tr>
    </w:tbl>
    <w:p/>
    <w:p>
      <w:pPr>
        <w:pStyle w:val="Heading1"/>
      </w:pPr>
      <w:r>
        <w:t>Policies, legal &amp; security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FFFF"/>
              </w:rPr>
              <w:t>#</w:t>
            </w:r>
          </w:p>
        </w:tc>
        <w:tc>
          <w:tcPr>
            <w:tcW w:type="dxa" w:w="2160"/>
          </w:tcPr>
          <w:p>
            <w:r>
              <w:rPr>
                <w:b/>
                <w:color w:val="FFFFFF"/>
              </w:rPr>
              <w:t>Task</w:t>
            </w:r>
          </w:p>
        </w:tc>
        <w:tc>
          <w:tcPr>
            <w:tcW w:type="dxa" w:w="2160"/>
          </w:tcPr>
          <w:p>
            <w:r>
              <w:rPr>
                <w:b/>
                <w:color w:val="FFFFFF"/>
              </w:rPr>
              <w:t>Owner</w:t>
            </w:r>
          </w:p>
        </w:tc>
        <w:tc>
          <w:tcPr>
            <w:tcW w:type="dxa" w:w="2160"/>
          </w:tcPr>
          <w:p>
            <w:r>
              <w:rPr>
                <w:b/>
                <w:color w:val="FFFFFF"/>
              </w:rPr>
              <w:t>Notes</w:t>
            </w:r>
          </w:p>
        </w:tc>
      </w:tr>
      <w:tr>
        <w:tc>
          <w:tcPr>
            <w:tcW w:type="dxa" w:w="2160"/>
          </w:tcPr>
          <w:p>
            <w:r>
              <w:t>P1</w:t>
            </w:r>
          </w:p>
        </w:tc>
        <w:tc>
          <w:tcPr>
            <w:tcW w:type="dxa" w:w="2160"/>
          </w:tcPr>
          <w:p>
            <w:r>
              <w:t>Shipping: 3–4 days major cities; 5–7 outlying; remove farm delivery</w:t>
            </w:r>
          </w:p>
        </w:tc>
        <w:tc>
          <w:tcPr>
            <w:tcW w:type="dxa" w:w="2160"/>
          </w:tcPr>
          <w:p>
            <w:r>
              <w:t>Ignatius</w:t>
            </w:r>
          </w:p>
        </w:tc>
        <w:tc>
          <w:tcPr>
            <w:tcW w:type="dxa" w:w="2160"/>
          </w:tcPr>
          <w:p>
            <w:r>
              <w:t>Align all policy pages</w:t>
            </w:r>
          </w:p>
        </w:tc>
      </w:tr>
      <w:tr>
        <w:tc>
          <w:tcPr>
            <w:tcW w:type="dxa" w:w="2160"/>
          </w:tcPr>
          <w:p>
            <w:r>
              <w:t>P2</w:t>
            </w:r>
          </w:p>
        </w:tc>
        <w:tc>
          <w:tcPr>
            <w:tcW w:type="dxa" w:w="2160"/>
          </w:tcPr>
          <w:p>
            <w:r>
              <w:t>Final legal/policy review (warranty, cooling-off, terms)</w:t>
            </w:r>
          </w:p>
        </w:tc>
        <w:tc>
          <w:tcPr>
            <w:tcW w:type="dxa" w:w="2160"/>
          </w:tcPr>
          <w:p>
            <w:r>
              <w:t>Anneke</w:t>
            </w:r>
          </w:p>
        </w:tc>
        <w:tc>
          <w:tcPr>
            <w:tcW w:type="dxa" w:w="2160"/>
          </w:tcPr>
          <w:p>
            <w:r>
              <w:t>Print &amp; mark up</w:t>
            </w:r>
          </w:p>
        </w:tc>
      </w:tr>
      <w:tr>
        <w:tc>
          <w:tcPr>
            <w:tcW w:type="dxa" w:w="2160"/>
          </w:tcPr>
          <w:p>
            <w:r>
              <w:t>P3</w:t>
            </w:r>
          </w:p>
        </w:tc>
        <w:tc>
          <w:tcPr>
            <w:tcW w:type="dxa" w:w="2160"/>
          </w:tcPr>
          <w:p>
            <w:r>
              <w:t>Email verification on all forms</w:t>
            </w:r>
          </w:p>
        </w:tc>
        <w:tc>
          <w:tcPr>
            <w:tcW w:type="dxa" w:w="2160"/>
          </w:tcPr>
          <w:p>
            <w:r>
              <w:t>Ignatius</w:t>
            </w:r>
          </w:p>
        </w:tc>
        <w:tc>
          <w:tcPr>
            <w:tcW w:type="dxa" w:w="2160"/>
          </w:tcPr>
          <w:p>
            <w:r>
              <w:t>Spam reduction</w:t>
            </w:r>
          </w:p>
        </w:tc>
      </w:tr>
    </w:tbl>
    <w:p/>
    <w:p>
      <w:pPr>
        <w:pStyle w:val="Heading1"/>
      </w:pPr>
      <w:r>
        <w:t>Parallel projects (GSI &amp; Storevac)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FFFF"/>
              </w:rPr>
              <w:t>#</w:t>
            </w:r>
          </w:p>
        </w:tc>
        <w:tc>
          <w:tcPr>
            <w:tcW w:type="dxa" w:w="2160"/>
          </w:tcPr>
          <w:p>
            <w:r>
              <w:rPr>
                <w:b/>
                <w:color w:val="FFFFFF"/>
              </w:rPr>
              <w:t>Task</w:t>
            </w:r>
          </w:p>
        </w:tc>
        <w:tc>
          <w:tcPr>
            <w:tcW w:type="dxa" w:w="2160"/>
          </w:tcPr>
          <w:p>
            <w:r>
              <w:rPr>
                <w:b/>
                <w:color w:val="FFFFFF"/>
              </w:rPr>
              <w:t>Owner</w:t>
            </w:r>
          </w:p>
        </w:tc>
        <w:tc>
          <w:tcPr>
            <w:tcW w:type="dxa" w:w="2160"/>
          </w:tcPr>
          <w:p>
            <w:r>
              <w:rPr>
                <w:b/>
                <w:color w:val="FFFFFF"/>
              </w:rPr>
              <w:t>Notes</w:t>
            </w:r>
          </w:p>
        </w:tc>
      </w:tr>
      <w:tr>
        <w:tc>
          <w:tcPr>
            <w:tcW w:type="dxa" w:w="2160"/>
          </w:tcPr>
          <w:p>
            <w:r>
              <w:t>F1</w:t>
            </w:r>
          </w:p>
        </w:tc>
        <w:tc>
          <w:tcPr>
            <w:tcW w:type="dxa" w:w="2160"/>
          </w:tcPr>
          <w:p>
            <w:r>
              <w:t>GSI website — clean headings and images</w:t>
            </w:r>
          </w:p>
        </w:tc>
        <w:tc>
          <w:tcPr>
            <w:tcW w:type="dxa" w:w="2160"/>
          </w:tcPr>
          <w:p>
            <w:r>
              <w:t>Both</w:t>
            </w:r>
          </w:p>
        </w:tc>
        <w:tc>
          <w:tcPr>
            <w:tcW w:type="dxa" w:w="2160"/>
          </w:tcPr>
          <w:p>
            <w:r>
              <w:t>Separate project</w:t>
            </w:r>
          </w:p>
        </w:tc>
      </w:tr>
      <w:tr>
        <w:tc>
          <w:tcPr>
            <w:tcW w:type="dxa" w:w="2160"/>
          </w:tcPr>
          <w:p>
            <w:r>
              <w:t>F2</w:t>
            </w:r>
          </w:p>
        </w:tc>
        <w:tc>
          <w:tcPr>
            <w:tcW w:type="dxa" w:w="2160"/>
          </w:tcPr>
          <w:p>
            <w:r>
              <w:t>Storevac integration — homepage, logo, product details</w:t>
            </w:r>
          </w:p>
        </w:tc>
        <w:tc>
          <w:tcPr>
            <w:tcW w:type="dxa" w:w="2160"/>
          </w:tcPr>
          <w:p>
            <w:r>
              <w:t>Ignatius / Anneke</w:t>
            </w:r>
          </w:p>
        </w:tc>
        <w:tc>
          <w:tcPr>
            <w:tcW w:type="dxa" w:w="2160"/>
          </w:tcPr>
          <w:p>
            <w:r>
              <w:t>Assets from Anneke</w:t>
            </w:r>
          </w:p>
        </w:tc>
      </w:tr>
      <w:tr>
        <w:tc>
          <w:tcPr>
            <w:tcW w:type="dxa" w:w="2160"/>
          </w:tcPr>
          <w:p>
            <w:r>
              <w:t>F3</w:t>
            </w:r>
          </w:p>
        </w:tc>
        <w:tc>
          <w:tcPr>
            <w:tcW w:type="dxa" w:w="2160"/>
          </w:tcPr>
          <w:p>
            <w:r>
              <w:t>Submit cost estimate for Lava and GSI websites</w:t>
            </w:r>
          </w:p>
        </w:tc>
        <w:tc>
          <w:tcPr>
            <w:tcW w:type="dxa" w:w="2160"/>
          </w:tcPr>
          <w:p>
            <w:r>
              <w:t>Ignatius</w:t>
            </w:r>
          </w:p>
        </w:tc>
        <w:tc>
          <w:tcPr>
            <w:tcW w:type="dxa" w:w="2160"/>
          </w:tcPr>
          <w:p>
            <w:r/>
          </w:p>
        </w:tc>
      </w:tr>
      <w:tr>
        <w:tc>
          <w:tcPr>
            <w:tcW w:type="dxa" w:w="2160"/>
          </w:tcPr>
          <w:p>
            <w:r>
              <w:t>F4</w:t>
            </w:r>
          </w:p>
        </w:tc>
        <w:tc>
          <w:tcPr>
            <w:tcW w:type="dxa" w:w="2160"/>
          </w:tcPr>
          <w:p>
            <w:r>
              <w:t>Contact Bruce — follow up on website email</w:t>
            </w:r>
          </w:p>
        </w:tc>
        <w:tc>
          <w:tcPr>
            <w:tcW w:type="dxa" w:w="2160"/>
          </w:tcPr>
          <w:p>
            <w:r>
              <w:t>Anneke</w:t>
            </w:r>
          </w:p>
        </w:tc>
        <w:tc>
          <w:tcPr>
            <w:tcW w:type="dxa" w:w="2160"/>
          </w:tcPr>
          <w:p>
            <w:r/>
          </w:p>
        </w:tc>
      </w:tr>
    </w:tbl>
    <w:p/>
    <w:p>
      <w:pPr>
        <w:pStyle w:val="Heading1"/>
      </w:pPr>
      <w:r>
        <w:t>Suggested work order (Ignatius)</w:t>
      </w:r>
    </w:p>
    <w:p>
      <w:pPr>
        <w:pStyle w:val="ListNumber"/>
      </w:pPr>
      <w:r>
        <w:t>Review system (R1–R8) — first</w:t>
      </w:r>
    </w:p>
    <w:p>
      <w:pPr>
        <w:pStyle w:val="ListNumber"/>
      </w:pPr>
      <w:r>
        <w:t>Discount bug (E1)</w:t>
      </w:r>
    </w:p>
    <w:p>
      <w:pPr>
        <w:pStyle w:val="ListNumber"/>
      </w:pPr>
      <w:r>
        <w:t>Shipping (P1), bundle removal (N1), scale move (N2)</w:t>
      </w:r>
    </w:p>
    <w:p>
      <w:pPr>
        <w:pStyle w:val="ListNumber"/>
      </w:pPr>
      <w:r>
        <w:t>Email verification (P3)</w:t>
      </w:r>
    </w:p>
    <w:p>
      <w:pPr>
        <w:pStyle w:val="ListNumber"/>
      </w:pPr>
      <w:r>
        <w:t>PayFast default (E2) — confirm with Anneke</w:t>
      </w:r>
    </w:p>
    <w:p>
      <w:pPr>
        <w:pStyle w:val="ListNumber"/>
      </w:pPr>
      <w:r>
        <w:t>Storevac / GSI / quote — after Lava checklist</w:t>
      </w:r>
    </w:p>
    <w:p>
      <w:pPr>
        <w:pStyle w:val="Heading1"/>
      </w:pPr>
      <w:r>
        <w:t>Decisions recorded (aligned)</w:t>
      </w:r>
    </w:p>
    <w:p>
      <w:pPr>
        <w:pStyle w:val="ListBullet"/>
      </w:pPr>
      <w:r>
        <w:t>Discount removed when qualifying machine leaves cart</w:t>
      </w:r>
    </w:p>
    <w:p>
      <w:pPr>
        <w:pStyle w:val="ListBullet"/>
      </w:pPr>
      <w:r>
        <w:t>Email verification on all forms</w:t>
      </w:r>
    </w:p>
    <w:p>
      <w:pPr>
        <w:pStyle w:val="ListBullet"/>
      </w:pPr>
      <w:r>
        <w:t>Review rejection fully purges rejected reviews</w:t>
      </w:r>
    </w:p>
    <w:p>
      <w:pPr>
        <w:pStyle w:val="ListBullet"/>
      </w:pPr>
      <w:r>
        <w:t>General review form requires specific product identification</w:t>
      </w:r>
    </w:p>
    <w:p>
      <w:pPr>
        <w:pStyle w:val="ListBullet"/>
      </w:pPr>
      <w:r>
        <w:t>Header “Write your review” button next to Lava TV</w:t>
      </w:r>
    </w:p>
    <w:p>
      <w:pPr>
        <w:pStyle w:val="ListBullet"/>
      </w:pPr>
      <w:r>
        <w:t>Email notifications for new review submissions</w:t>
      </w:r>
    </w:p>
    <w:p>
      <w:pPr>
        <w:pStyle w:val="ListBullet"/>
      </w:pPr>
      <w:r>
        <w:t>Bundle deals removed; special offers only</w:t>
      </w:r>
    </w:p>
    <w:p>
      <w:pPr>
        <w:pStyle w:val="ListBullet"/>
      </w:pPr>
      <w:r>
        <w:t>Scale moved to scales category</w:t>
      </w:r>
    </w:p>
    <w:p>
      <w:pPr>
        <w:pStyle w:val="ListBullet"/>
      </w:pPr>
      <w:r>
        <w:t>Shipping: 3–4 major cities, 5–7 outlying; no farm delivery</w:t>
      </w:r>
    </w:p>
    <w:p>
      <w:pPr>
        <w:pStyle w:val="ListBullet"/>
      </w:pPr>
      <w:r>
        <w:t>Launch postponed until after next Tuesday follow-up</w:t>
      </w:r>
    </w:p>
    <w:p>
      <w:r>
        <w:rPr>
          <w:i/>
        </w:rPr>
        <w:br/>
        <w:t>Document generated 30 June 2026 · Prepared by Ignatius Ackermann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