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68F6" w14:textId="77777777" w:rsidR="003F112B" w:rsidRPr="003F112B" w:rsidRDefault="003F112B" w:rsidP="003F112B">
      <w:pPr>
        <w:spacing w:line="360" w:lineRule="auto"/>
        <w:jc w:val="center"/>
        <w:rPr>
          <w:rFonts w:cs="Times New Roman"/>
          <w:b/>
          <w:sz w:val="24"/>
          <w:szCs w:val="24"/>
        </w:rPr>
      </w:pPr>
      <w:r w:rsidRPr="003F112B">
        <w:rPr>
          <w:rFonts w:cs="Times New Roman"/>
          <w:b/>
          <w:sz w:val="24"/>
          <w:szCs w:val="24"/>
        </w:rPr>
        <w:t>SIMATS ENGINEERING</w:t>
      </w:r>
    </w:p>
    <w:p w14:paraId="3929861A" w14:textId="77777777" w:rsidR="003F112B" w:rsidRPr="003F112B" w:rsidRDefault="003F112B" w:rsidP="003F112B">
      <w:pPr>
        <w:spacing w:line="360" w:lineRule="auto"/>
        <w:jc w:val="center"/>
        <w:rPr>
          <w:rFonts w:cs="Times New Roman"/>
          <w:b/>
          <w:sz w:val="24"/>
          <w:szCs w:val="24"/>
        </w:rPr>
      </w:pPr>
      <w:r w:rsidRPr="003F112B">
        <w:rPr>
          <w:rFonts w:cs="Times New Roman"/>
          <w:b/>
          <w:sz w:val="24"/>
          <w:szCs w:val="24"/>
        </w:rPr>
        <w:t>ASSESSMENT TOOL 1</w:t>
      </w:r>
    </w:p>
    <w:p w14:paraId="090A5A08" w14:textId="77777777" w:rsidR="003F112B" w:rsidRDefault="003F112B" w:rsidP="003F112B">
      <w:pPr>
        <w:spacing w:line="360" w:lineRule="auto"/>
        <w:jc w:val="center"/>
        <w:rPr>
          <w:rFonts w:cs="Times New Roman"/>
          <w:b/>
          <w:sz w:val="24"/>
          <w:szCs w:val="24"/>
        </w:rPr>
      </w:pPr>
    </w:p>
    <w:p w14:paraId="5373198C" w14:textId="680739B1" w:rsidR="003F112B" w:rsidRDefault="003F112B" w:rsidP="003F112B">
      <w:pPr>
        <w:spacing w:line="360" w:lineRule="auto"/>
        <w:rPr>
          <w:rFonts w:cs="Times New Roman"/>
          <w:bCs/>
          <w:sz w:val="24"/>
          <w:szCs w:val="24"/>
        </w:rPr>
      </w:pPr>
      <w:r>
        <w:rPr>
          <w:rFonts w:cs="Times New Roman"/>
          <w:b/>
          <w:sz w:val="24"/>
          <w:szCs w:val="24"/>
        </w:rPr>
        <w:t xml:space="preserve">Student Name: </w:t>
      </w:r>
      <w:r w:rsidRPr="003F112B">
        <w:rPr>
          <w:rFonts w:cs="Times New Roman"/>
          <w:bCs/>
          <w:sz w:val="24"/>
          <w:szCs w:val="24"/>
        </w:rPr>
        <w:t>Basavaiah Lavanya</w:t>
      </w:r>
    </w:p>
    <w:p w14:paraId="5E4C0A9D" w14:textId="38F757C1" w:rsidR="003F112B" w:rsidRPr="003F112B" w:rsidRDefault="003F112B" w:rsidP="003F112B">
      <w:pPr>
        <w:spacing w:line="360" w:lineRule="auto"/>
        <w:rPr>
          <w:rFonts w:cs="Times New Roman"/>
          <w:bCs/>
          <w:sz w:val="24"/>
          <w:szCs w:val="24"/>
        </w:rPr>
      </w:pPr>
      <w:r>
        <w:rPr>
          <w:rFonts w:cs="Times New Roman"/>
          <w:b/>
          <w:sz w:val="24"/>
          <w:szCs w:val="24"/>
        </w:rPr>
        <w:t>Register number:</w:t>
      </w:r>
      <w:r>
        <w:rPr>
          <w:rFonts w:cs="Times New Roman"/>
          <w:bCs/>
          <w:sz w:val="24"/>
          <w:szCs w:val="24"/>
        </w:rPr>
        <w:t xml:space="preserve"> 192372046</w:t>
      </w:r>
    </w:p>
    <w:p w14:paraId="22740F54" w14:textId="77777777" w:rsidR="003F112B" w:rsidRPr="003F112B" w:rsidRDefault="003F112B" w:rsidP="003F112B">
      <w:pPr>
        <w:spacing w:line="360" w:lineRule="auto"/>
        <w:rPr>
          <w:rFonts w:cs="Times New Roman"/>
          <w:b/>
          <w:sz w:val="24"/>
          <w:szCs w:val="24"/>
        </w:rPr>
      </w:pPr>
    </w:p>
    <w:p w14:paraId="6379F24A" w14:textId="03EE6B12" w:rsidR="003F112B" w:rsidRPr="003F112B" w:rsidRDefault="003F112B" w:rsidP="003F112B">
      <w:pPr>
        <w:spacing w:line="360" w:lineRule="auto"/>
        <w:rPr>
          <w:rFonts w:cs="Times New Roman"/>
          <w:b/>
          <w:sz w:val="24"/>
          <w:szCs w:val="24"/>
        </w:rPr>
      </w:pPr>
      <w:r w:rsidRPr="003F112B">
        <w:rPr>
          <w:rFonts w:cs="Times New Roman"/>
          <w:b/>
          <w:sz w:val="24"/>
          <w:szCs w:val="24"/>
        </w:rPr>
        <w:t>COURSE NAME: Ethical Hacking COURSE CODE: ITA14</w:t>
      </w:r>
    </w:p>
    <w:p w14:paraId="5850E1EA" w14:textId="77777777" w:rsidR="003F112B" w:rsidRPr="003F112B" w:rsidRDefault="003F112B" w:rsidP="003F112B">
      <w:pPr>
        <w:spacing w:line="360" w:lineRule="auto"/>
        <w:rPr>
          <w:rFonts w:cs="Times New Roman"/>
          <w:b/>
          <w:sz w:val="24"/>
          <w:szCs w:val="24"/>
        </w:rPr>
      </w:pPr>
      <w:r w:rsidRPr="003F112B">
        <w:rPr>
          <w:rFonts w:cs="Times New Roman"/>
          <w:b/>
          <w:sz w:val="24"/>
          <w:szCs w:val="24"/>
        </w:rPr>
        <w:t>COURSE OUTCOME COVERED</w:t>
      </w:r>
    </w:p>
    <w:p w14:paraId="31F7B077" w14:textId="77777777" w:rsidR="003F112B" w:rsidRPr="003F112B" w:rsidRDefault="003F112B" w:rsidP="003F112B">
      <w:pPr>
        <w:spacing w:line="360" w:lineRule="auto"/>
        <w:rPr>
          <w:rFonts w:cs="Times New Roman"/>
          <w:bCs/>
          <w:sz w:val="24"/>
          <w:szCs w:val="24"/>
        </w:rPr>
      </w:pPr>
      <w:r w:rsidRPr="003F112B">
        <w:rPr>
          <w:rFonts w:cs="Times New Roman"/>
          <w:b/>
          <w:sz w:val="24"/>
          <w:szCs w:val="24"/>
        </w:rPr>
        <w:t xml:space="preserve">CO2: </w:t>
      </w:r>
      <w:r w:rsidRPr="003F112B">
        <w:rPr>
          <w:rFonts w:cs="Times New Roman"/>
          <w:bCs/>
          <w:sz w:val="24"/>
          <w:szCs w:val="24"/>
        </w:rPr>
        <w:t xml:space="preserve">Execute </w:t>
      </w:r>
      <w:proofErr w:type="spellStart"/>
      <w:r w:rsidRPr="003F112B">
        <w:rPr>
          <w:rFonts w:cs="Times New Roman"/>
          <w:bCs/>
          <w:sz w:val="24"/>
          <w:szCs w:val="24"/>
        </w:rPr>
        <w:t>footprinting</w:t>
      </w:r>
      <w:proofErr w:type="spellEnd"/>
      <w:r w:rsidRPr="003F112B">
        <w:rPr>
          <w:rFonts w:cs="Times New Roman"/>
          <w:bCs/>
          <w:sz w:val="24"/>
          <w:szCs w:val="24"/>
        </w:rPr>
        <w:t xml:space="preserve"> in social engineering such as DNS analysis, competitive intelligence</w:t>
      </w:r>
    </w:p>
    <w:p w14:paraId="063992A3" w14:textId="77777777" w:rsidR="003F112B" w:rsidRPr="003F112B" w:rsidRDefault="003F112B" w:rsidP="003F112B">
      <w:pPr>
        <w:spacing w:line="360" w:lineRule="auto"/>
        <w:rPr>
          <w:rFonts w:cs="Times New Roman"/>
          <w:bCs/>
          <w:sz w:val="24"/>
          <w:szCs w:val="24"/>
        </w:rPr>
      </w:pPr>
      <w:r w:rsidRPr="003F112B">
        <w:rPr>
          <w:rFonts w:cs="Times New Roman"/>
          <w:bCs/>
          <w:sz w:val="24"/>
          <w:szCs w:val="24"/>
        </w:rPr>
        <w:t>gathering, and attack simulations to collect relevant information for identifying potential security</w:t>
      </w:r>
    </w:p>
    <w:p w14:paraId="69BB1CAD" w14:textId="77777777" w:rsidR="003F112B" w:rsidRPr="003F112B" w:rsidRDefault="003F112B" w:rsidP="003F112B">
      <w:pPr>
        <w:spacing w:line="360" w:lineRule="auto"/>
        <w:rPr>
          <w:rFonts w:cs="Times New Roman"/>
          <w:bCs/>
          <w:sz w:val="24"/>
          <w:szCs w:val="24"/>
        </w:rPr>
      </w:pPr>
      <w:r w:rsidRPr="003F112B">
        <w:rPr>
          <w:rFonts w:cs="Times New Roman"/>
          <w:bCs/>
          <w:sz w:val="24"/>
          <w:szCs w:val="24"/>
        </w:rPr>
        <w:t>risks.</w:t>
      </w:r>
    </w:p>
    <w:p w14:paraId="4A481228" w14:textId="77777777" w:rsidR="003F112B" w:rsidRPr="003F112B" w:rsidRDefault="003F112B" w:rsidP="003F112B">
      <w:pPr>
        <w:spacing w:line="360" w:lineRule="auto"/>
        <w:jc w:val="center"/>
        <w:rPr>
          <w:rFonts w:cs="Times New Roman"/>
          <w:b/>
          <w:sz w:val="24"/>
          <w:szCs w:val="24"/>
        </w:rPr>
      </w:pPr>
      <w:r w:rsidRPr="003F112B">
        <w:rPr>
          <w:rFonts w:cs="Times New Roman"/>
          <w:b/>
          <w:sz w:val="24"/>
          <w:szCs w:val="24"/>
        </w:rPr>
        <w:t>Assessment Tool Weightage: 30%</w:t>
      </w:r>
    </w:p>
    <w:p w14:paraId="49ED654B" w14:textId="77777777" w:rsidR="003F112B" w:rsidRPr="003F112B" w:rsidRDefault="003F112B" w:rsidP="003F112B">
      <w:pPr>
        <w:spacing w:line="360" w:lineRule="auto"/>
        <w:jc w:val="center"/>
        <w:rPr>
          <w:rFonts w:cs="Times New Roman"/>
          <w:b/>
          <w:sz w:val="24"/>
          <w:szCs w:val="24"/>
        </w:rPr>
      </w:pPr>
      <w:r w:rsidRPr="003F112B">
        <w:rPr>
          <w:rFonts w:cs="Times New Roman"/>
          <w:b/>
          <w:sz w:val="24"/>
          <w:szCs w:val="24"/>
        </w:rPr>
        <w:t>Duration: 90 min                                                                                                 Total Marks: 50</w:t>
      </w:r>
    </w:p>
    <w:p w14:paraId="3353C324" w14:textId="77777777" w:rsidR="003F112B" w:rsidRPr="003F112B" w:rsidRDefault="003F112B" w:rsidP="003F112B">
      <w:pPr>
        <w:spacing w:line="360" w:lineRule="auto"/>
        <w:jc w:val="center"/>
        <w:rPr>
          <w:rFonts w:cs="Times New Roman"/>
          <w:b/>
          <w:sz w:val="24"/>
          <w:szCs w:val="24"/>
        </w:rPr>
      </w:pPr>
    </w:p>
    <w:p w14:paraId="27A97CFD" w14:textId="6396A6A5" w:rsidR="003F112B" w:rsidRDefault="003F112B" w:rsidP="003F112B">
      <w:pPr>
        <w:spacing w:line="360" w:lineRule="auto"/>
        <w:jc w:val="center"/>
        <w:rPr>
          <w:rFonts w:cs="Times New Roman"/>
          <w:b/>
          <w:sz w:val="24"/>
          <w:szCs w:val="24"/>
        </w:rPr>
      </w:pPr>
      <w:r w:rsidRPr="003F112B">
        <w:rPr>
          <w:rFonts w:cs="Times New Roman"/>
          <w:b/>
          <w:sz w:val="24"/>
          <w:szCs w:val="24"/>
        </w:rPr>
        <w:t>Report Analysis</w:t>
      </w:r>
    </w:p>
    <w:p w14:paraId="4956C208" w14:textId="77777777" w:rsidR="003F112B" w:rsidRDefault="003F112B" w:rsidP="003F112B">
      <w:pPr>
        <w:spacing w:line="360" w:lineRule="auto"/>
        <w:jc w:val="both"/>
        <w:rPr>
          <w:rFonts w:cs="Times New Roman"/>
          <w:b/>
          <w:sz w:val="24"/>
          <w:szCs w:val="24"/>
        </w:rPr>
      </w:pPr>
    </w:p>
    <w:p w14:paraId="0829EA4A" w14:textId="205E8DA4" w:rsidR="00E17E46" w:rsidRPr="003F112B" w:rsidRDefault="00000000" w:rsidP="003F112B">
      <w:pPr>
        <w:spacing w:line="360" w:lineRule="auto"/>
        <w:jc w:val="both"/>
        <w:rPr>
          <w:rFonts w:cs="Times New Roman"/>
          <w:sz w:val="24"/>
          <w:szCs w:val="24"/>
        </w:rPr>
      </w:pPr>
      <w:r w:rsidRPr="003F112B">
        <w:rPr>
          <w:rFonts w:cs="Times New Roman"/>
          <w:b/>
          <w:sz w:val="24"/>
          <w:szCs w:val="24"/>
        </w:rPr>
        <w:t>QUESTION 1 — NMAP NETWORK SCAN REPORT ANALYSIS</w:t>
      </w:r>
    </w:p>
    <w:p w14:paraId="4B0DC743"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Introduction to Nmap and the reported scan</w:t>
      </w:r>
    </w:p>
    <w:p w14:paraId="6AA23FE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Nmap (Network Mapper) is a widely used network discovery and security auditing tool. It helps an authorized security analyst identify which hosts are reachable, which TCP or UDP ports appear open, what services are listening, and sometimes which operating system and software versions are present. In this case, the target is 192.168.1.10, a private IPv4 address commonly used inside local networks. The report lists HTTP on port 80, SSH on port 22, and MySQL on port 3306. These findings do not prove that the target has been compromised; they describe services that may accept connections and therefore deserve a configuration and exposure review.</w:t>
      </w:r>
    </w:p>
    <w:p w14:paraId="6D79CC8A"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 xml:space="preserve">An open port is a communication endpoint where a service appears to be listening. Whether it represents a serious risk depends on the system's purpose, network location, software version, configuration, </w:t>
      </w:r>
      <w:r w:rsidRPr="003F112B">
        <w:rPr>
          <w:rFonts w:cs="Times New Roman"/>
          <w:sz w:val="24"/>
          <w:szCs w:val="24"/>
        </w:rPr>
        <w:lastRenderedPageBreak/>
        <w:t>authentication, and the sensitivity of the data it handles. For example, an internal database may legitimately listen for connections from a specific application server but should not be reachable by every device on the network. Likewise, SSH may be necessary for administration, but access should be limited to authorized administrators and approved management devices.</w:t>
      </w:r>
    </w:p>
    <w:p w14:paraId="74A8CB9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scan report is best treated as a starting point for risk assessment, not as a complete security verdict. The analyst should verify the findings, compare them with the organization's approved asset inventory, confirm the business need for each service, and review the results with the system owner. Testing must be performed only with authorization and within the approved scope.</w:t>
      </w:r>
    </w:p>
    <w:p w14:paraId="0A97F4B8"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0293F09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Record the target, scan date, scope, and authorization.</w:t>
      </w:r>
    </w:p>
    <w:p w14:paraId="0082929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Verify that each open port is required for the system's business function.</w:t>
      </w:r>
    </w:p>
    <w:p w14:paraId="2C3ED01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Review service versions and configuration through approved administrative methods.</w:t>
      </w:r>
    </w:p>
    <w:p w14:paraId="00C1473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Prioritize remediation according to exposure, exploitability, and business impact.</w:t>
      </w:r>
    </w:p>
    <w:p w14:paraId="11D6836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D7CDEC0"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6A7A59E4"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Understanding ports, services, and exposure</w:t>
      </w:r>
    </w:p>
    <w:p w14:paraId="72D780A1"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Ports help a computer distinguish among network services. Port 80 is conventionally associated with HTTP web traffic, port 22 with SSH remote administration, and port 3306 with MySQL database connections. These are conventional assignments, not guarantees: a service can be configured to use another port, and a port number alone does not prove which software is running. Nmap service detection can provide additional clues, but results should be validated against system records.</w:t>
      </w:r>
    </w:p>
    <w:p w14:paraId="506E838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most important question is not simply “Which ports are open?” but “Who can reach them, and what can they do after connecting?” A service reachable only from a dedicated management network has a different risk profile from the same service exposed to the public internet. A database port accessible to an application server may be necessary; the same port accessible from guest Wi-Fi or an untrusted external network is usually unnecessary and risky. Network segmentation and firewall rules reduce the number of systems that can reach each service.</w:t>
      </w:r>
    </w:p>
    <w:p w14:paraId="3AB94A6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Operating-system and service-version details are valuable for defenders because they help identify unsupported software and missing security updates. They can also help an attacker select relevant reconnaissance techniques. Therefore, scan reports should be stored and shared according to the organization's security classification rules. Detailed inventory data should not be unnecessarily published or sent to people who do not need it.</w:t>
      </w:r>
    </w:p>
    <w:p w14:paraId="71693D1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6D5A9BF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Classify the network zone: internet-facing, internal, or management-only.</w:t>
      </w:r>
    </w:p>
    <w:p w14:paraId="481E142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Confirm the service identity and version with system administrators.</w:t>
      </w:r>
    </w:p>
    <w:p w14:paraId="44F798F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Check whether firewall rules match the approved network design.</w:t>
      </w:r>
    </w:p>
    <w:p w14:paraId="69B35D0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Keep scan reports access-controlled because they reveal attack-surface details.</w:t>
      </w:r>
    </w:p>
    <w:p w14:paraId="2104723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29F7DC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7BAA1409"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HTTP on port 80: purpose and security risks</w:t>
      </w:r>
    </w:p>
    <w:p w14:paraId="46CF930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HTTP is the protocol traditionally used to deliver web pages and application content. The main security concern with ordinary HTTP is that the connection does not encrypt traffic. If sensitive data is transmitted over an unprotected network, a person able to observe that traffic may be able to read or alter it. This can include session cookies, submitted information, or other application data if the application incorrectly sends it over HTTP. Modern websites should use HTTPS, which protects data in transit using TLS.</w:t>
      </w:r>
    </w:p>
    <w:p w14:paraId="24496E9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web server and the application it hosts may also have vulnerabilities. Examples include injection flaws, cross-site scripting, insecure file handling, directory traversal, weak session management, and access-control errors. These issues are not caused by port 80 itself; they arise from the server software, application code, deployment choices, or unsafe input handling. An outdated web server may also contain publicly documented vulnerabilities. A version banner alone is not enough to confirm exploitability, because vendors may backport fixes or customize their builds.</w:t>
      </w:r>
    </w:p>
    <w:p w14:paraId="30250714"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safe assessment should establish whether port 80 redirects to HTTPS, whether sensitive pages are served only over encrypted connections, and whether the web application has undergone appropriate testing. Publicly accessible pages should expose only intended content. Administrative interfaces, debug endpoints, backups, and configuration files should not be reachable by ordinary users.</w:t>
      </w:r>
    </w:p>
    <w:p w14:paraId="178D4AC8"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227A9D3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Redirect HTTP requests to HTTPS and enable secure TLS settings.</w:t>
      </w:r>
    </w:p>
    <w:p w14:paraId="54ED460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secure, HttpOnly, and appropriate SameSite cookie attributes.</w:t>
      </w:r>
    </w:p>
    <w:p w14:paraId="2DA4639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Patch the web server, framework, dependencies, and application code.</w:t>
      </w:r>
    </w:p>
    <w:p w14:paraId="168D8B0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Test input validation, access controls, file handling, and session security.</w:t>
      </w:r>
    </w:p>
    <w:p w14:paraId="4F1B1FA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5E990AAD"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303B689D"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HTTP: possible attacker approach and defensive controls</w:t>
      </w:r>
    </w:p>
    <w:p w14:paraId="722919BC"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An attacker who can reach a web server may first enumerate publicly available pages and identify the technology stack, login portals, and application functions. If the site accepts user input, an attacker may probe for weaknesses such as unsafe database queries, reflected or stored script injection, or improper authorization checks. If the server exposes backup files or debugging information, that information may reveal configuration details. These are general risk scenarios; the scan result alone does not show that any of them are present on 192.168.1.10.</w:t>
      </w:r>
    </w:p>
    <w:p w14:paraId="2DCD452C"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defensive response should combine secure configuration with application-level security. Developers should use parameterized database queries, context-aware output encoding, strict input validation, and server-side authorization checks. The web server should run with only the permissions it needs. File uploads should be restricted by type and size, stored safely, and scanned where appropriate. Directory listings and unnecessary modules should be disabled. Secrets must not be embedded in web-accessible files or source repositories.</w:t>
      </w:r>
    </w:p>
    <w:p w14:paraId="36E376D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Web Application Firewall (WAF) may help detect or block common attack patterns, but it is not a replacement for secure code and patching. Logs should record relevant events without storing passwords, session tokens, or other unnecessary sensitive data. Monitoring should alert the security team to unusual request volumes, repeated failures, unexpected administrative access, and suspicious file activity.</w:t>
      </w:r>
    </w:p>
    <w:p w14:paraId="4F52BF04"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3476DD0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parameterized queries and safe output encoding.</w:t>
      </w:r>
    </w:p>
    <w:p w14:paraId="4F0A814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Disable directory browsing, debug pages, and unnecessary modules.</w:t>
      </w:r>
    </w:p>
    <w:p w14:paraId="610E66EB"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Run the web service with least privilege and isolate it from sensitive systems.</w:t>
      </w:r>
    </w:p>
    <w:p w14:paraId="008F355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a WAF as an additional layer and review web logs regularly.</w:t>
      </w:r>
    </w:p>
    <w:p w14:paraId="10FD2624"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5AACF205"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37CD7EF9"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SSH on port 22: purpose and security risks</w:t>
      </w:r>
    </w:p>
    <w:p w14:paraId="618CEDD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Secure Shell (SSH) is commonly used by administrators to manage servers remotely, transfer files securely, and execute maintenance commands. SSH provides encryption and server authentication when configured correctly. Nevertheless, a publicly or broadly reachable SSH service can attract repeated login attempts. Weak or reused passwords, compromised credentials, exposed private keys, and overly permissive accounts can lead to unauthorized access. Unsupported SSH software or weak cryptographic settings can also increase risk.</w:t>
      </w:r>
    </w:p>
    <w:p w14:paraId="768C898C"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SSH access should be based on a clear operational need. Administrative access should preferably be limited to a management network, VPN, or a small allowlist of trusted source addresses. Key-based authentication can reduce dependence on passwords, provided private keys are protected and rotated when necessary. Multi-factor authentication adds another layer where supported. Direct login as the root or highest-privilege account should generally be disabled, with administrators using named accounts and approved privilege elevation.</w:t>
      </w:r>
    </w:p>
    <w:p w14:paraId="0885AE2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organization should review which users can log in, which authentication methods are enabled, and whether inactive accounts remain present. File permissions for SSH keys and configuration files should be restrictive. Logs should be reviewed for repeated failures, unexpected source addresses, unusual login times, and new privileged sessions. Security measures should be tested carefully so that legitimate administration is not accidentally locked out.</w:t>
      </w:r>
    </w:p>
    <w:p w14:paraId="0B76F666"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6DD74D9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Prefer SSH keys protected by passphrases and secure key storage.</w:t>
      </w:r>
    </w:p>
    <w:p w14:paraId="77C79B73"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Disable direct root login and remove unused accounts.</w:t>
      </w:r>
    </w:p>
    <w:p w14:paraId="3FA37AA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Restrict SSH to authorized users and trusted network locations.</w:t>
      </w:r>
    </w:p>
    <w:p w14:paraId="7DA4ED1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MFA, rate limiting, and monitoring where supported.</w:t>
      </w:r>
    </w:p>
    <w:p w14:paraId="3B29AEA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91E2831"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24F8AC61"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SSH: attack scenarios and secure administration</w:t>
      </w:r>
    </w:p>
    <w:p w14:paraId="72F9D12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common attack scenario is repeated password guessing against a reachable SSH service. Attackers may also try credentials exposed in unrelated data breaches, hoping that a user reused a password. If an administrator's private key is stolen or stored without protection, an attacker may be able to authenticate as that administrator. Once inside, the amount of damage depends on the account's privileges, system hardening, network segmentation, and monitoring.</w:t>
      </w:r>
    </w:p>
    <w:p w14:paraId="74D92BF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Defenders should use unique credentials, secure key management, and strong authentication policies. Private keys should never be placed in public repositories, shared folders with broad access, or unencrypted backups. Access should be removed promptly when staff change roles or leave the organization. Privileged operations should be logged, and administrators should use separate standard and privileged accounts where practical. Configuration management can help maintain consistent, approved SSH settings across servers.</w:t>
      </w:r>
    </w:p>
    <w:p w14:paraId="4A7987EA"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Changing the default SSH port may reduce some background scanning noise, but it is not a primary security control and does not stop a determined attacker. The strongest controls are reducing exposure, enforcing robust authentication, keeping software current, limiting privilege, and monitoring activity. If suspicious access is detected, responders should preserve logs, revoke or rotate affected keys, reset compromised credentials, inspect authorized keys and accounts, and determine whether other systems were accessed.</w:t>
      </w:r>
    </w:p>
    <w:p w14:paraId="335FF15A"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02BADF4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Protect private keys with appropriate permissions and encryption.</w:t>
      </w:r>
    </w:p>
    <w:p w14:paraId="5613F7D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Remove stale credentials and periodically review authorized keys.</w:t>
      </w:r>
    </w:p>
    <w:p w14:paraId="5716C4A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centralized logging and alert on anomalous authentication activity.</w:t>
      </w:r>
    </w:p>
    <w:p w14:paraId="1F83F0B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Have a response procedure for compromised administrator accounts.</w:t>
      </w:r>
    </w:p>
    <w:p w14:paraId="23B6B4D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33434D9B"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3804F612"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MySQL on port 3306: database exposure</w:t>
      </w:r>
    </w:p>
    <w:p w14:paraId="3160E44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MySQL is a relational database management system used by many applications to store records, account information, transactions, and other business data. Port 3306 is the default TCP port for MySQL. A database listener should usually be reachable only by the application servers, administrators, and approved backup or monitoring systems that need it. If the port is accessible to untrusted devices, it may create opportunities for password attacks, exploitation of software vulnerabilities, or unauthorized access caused by configuration mistakes.</w:t>
      </w:r>
    </w:p>
    <w:p w14:paraId="6D23876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sensitivity of a MySQL database depends on the data it contains. A compromise may expose personal information, credentials, financial records, business information, or application secrets. Attackers who obtain write privileges might alter or delete records. Excessive database privileges can increase the damage from a compromised application account. Weak backups and insecure replication channels may also expose data even if the main database is hardened.</w:t>
      </w:r>
    </w:p>
    <w:p w14:paraId="070DAEE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scan does not establish that MySQL is vulnerable or that the database is reachable from every network. The analyst should determine the source networks allowed to connect, identify the exact server version, check support status and patches, review database accounts, and confirm encryption requirements. Database access should be designed around application needs rather than convenience.</w:t>
      </w:r>
    </w:p>
    <w:p w14:paraId="32FB3712"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6A7C8A0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Block direct database access from public and untrusted networks.</w:t>
      </w:r>
    </w:p>
    <w:p w14:paraId="46C7016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Allow connections only from approved application and management hosts.</w:t>
      </w:r>
    </w:p>
    <w:p w14:paraId="5B8CEF3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unique database accounts with narrowly scoped privileges.</w:t>
      </w:r>
    </w:p>
    <w:p w14:paraId="48C19F9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Encrypt sensitive connections and protect backups and replication traffic.</w:t>
      </w:r>
    </w:p>
    <w:p w14:paraId="47144DC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70F9AB87"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35365620"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MySQL: attack scenarios and database protection</w:t>
      </w:r>
    </w:p>
    <w:p w14:paraId="0092DBA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An attacker may attempt to authenticate to an exposed database using guessed, reused, or leaked credentials. If a database account has excessive permissions, a successful login may allow access to more records than necessary. A vulnerable database version or unsafe database configuration can introduce additional risk. An attacker may also target the application that connects to MySQL; if the application uses unsafe query construction, SQL injection may allow unauthorized data access through the application's own database connection.</w:t>
      </w:r>
    </w:p>
    <w:p w14:paraId="1D022B5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most effective approach is layered defense. Network controls should limit who can reach the database listener. Database accounts should be separated by application and purpose, and each should receive only the permissions needed for its tasks. Administrative accounts should not be used by routine application processes. Default accounts and sample databases should be removed or secured according to vendor guidance. Strong authentication, supported encryption, and regular patching should be maintained.</w:t>
      </w:r>
    </w:p>
    <w:p w14:paraId="7745FBA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Backups should be encrypted, access-controlled, and tested through periodic restoration exercises. Audit logging should capture relevant authentication and privilege changes while avoiding unnecessary exposure of sensitive values. Organizations should define retention periods and protect logs from unauthorized alteration. A tested incident-response plan should explain how to isolate the database, preserve evidence, rotate secrets, restore clean backups, and notify relevant stakeholders if a breach occurs.</w:t>
      </w:r>
    </w:p>
    <w:p w14:paraId="52D51B56"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5486A1A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 xml:space="preserve">Use </w:t>
      </w:r>
      <w:proofErr w:type="gramStart"/>
      <w:r w:rsidRPr="003F112B">
        <w:rPr>
          <w:rFonts w:cs="Times New Roman"/>
          <w:sz w:val="24"/>
          <w:szCs w:val="24"/>
        </w:rPr>
        <w:t>separate</w:t>
      </w:r>
      <w:proofErr w:type="gramEnd"/>
      <w:r w:rsidRPr="003F112B">
        <w:rPr>
          <w:rFonts w:cs="Times New Roman"/>
          <w:sz w:val="24"/>
          <w:szCs w:val="24"/>
        </w:rPr>
        <w:t xml:space="preserve"> least-privilege accounts for applications and administrators.</w:t>
      </w:r>
    </w:p>
    <w:p w14:paraId="4BF4AE0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Remove default or unnecessary accounts and sample content.</w:t>
      </w:r>
    </w:p>
    <w:p w14:paraId="04C62AE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Encrypt backups and test recovery procedures.</w:t>
      </w:r>
    </w:p>
    <w:p w14:paraId="41679A6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Monitor failed logins, unusual queries, privilege changes, and data exports.</w:t>
      </w:r>
    </w:p>
    <w:p w14:paraId="3E9B691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B1C5580"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3908F2C8"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Operating-system and service-version findings</w:t>
      </w:r>
    </w:p>
    <w:p w14:paraId="2756B00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Operating-system and service-version information helps an analyst understand the software footprint of the target. The information can identify products that are out of support or missing important security updates. It can also guide asset owners toward the correct vendor advisories and patch packages. However, operating-system fingerprinting is probabilistic, and service banners may be inaccurate or deliberately obscured. A reported version should be verified using trusted inventory tools and vendor information before a remediation decision is made.</w:t>
      </w:r>
    </w:p>
    <w:p w14:paraId="43ACFB4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Attackers use version information during reconnaissance to compare a target with publicly documented vulnerabilities. If a system appears to run a vulnerable release, they may prioritize it for further investigation. This does not mean that every reported vulnerability can be exploited: network reachability, enabled features, configuration, mitigations, and patch backports all matter. Risk assessment should therefore combine version data with vulnerability scanning, configuration review, and business context.</w:t>
      </w:r>
    </w:p>
    <w:p w14:paraId="5E30A5B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good vulnerability-management process maintains an accurate asset inventory, assigns owners, classifies system criticality, tracks vendor support dates, and sets patch deadlines based on severity. Internet-facing and business-critical systems often need faster remediation. When an update cannot be applied immediately, compensating controls such as access restrictions, service isolation, or temporary feature disablement may reduce exposure while a formal exception is reviewed.</w:t>
      </w:r>
    </w:p>
    <w:p w14:paraId="0B53206D"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0F0FA42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Validate detected versions against the asset inventory and vendor advisories.</w:t>
      </w:r>
    </w:p>
    <w:p w14:paraId="6618581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Prioritize unsupported software and critical known vulnerabilities.</w:t>
      </w:r>
    </w:p>
    <w:p w14:paraId="4EF9070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approved patch-management and change-control processes.</w:t>
      </w:r>
    </w:p>
    <w:p w14:paraId="428EB39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Document exceptions, compensating controls, owners, and deadlines.</w:t>
      </w:r>
    </w:p>
    <w:p w14:paraId="778C75DA"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2922FC5"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1 — NMAP NETWORK SCAN REPORT ANALYSIS</w:t>
      </w:r>
    </w:p>
    <w:p w14:paraId="1D3F70E9"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Risk prioritization and remediation plan</w:t>
      </w:r>
    </w:p>
    <w:p w14:paraId="25DB540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findings should be prioritized according to likelihood and impact rather than treating every open port as equally dangerous. An exposed database containing sensitive information may warrant urgent restriction. An HTTP service that serves public content may be necessary, but it still needs encryption and application testing. SSH may be required for administration but should be isolated from ordinary user networks. The organization's risk appetite, compliance obligations, and business requirements should inform the final remediation plan.</w:t>
      </w:r>
    </w:p>
    <w:p w14:paraId="6A33E2B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practical remediation sequence begins with confirming the intended role of 192.168.1.10 and identifying service owners. Next, restrict unnecessary network paths and close services that have no approved purpose. Then patch operating-system and application components, harden authentication, and review permissions. Finally, conduct a verification scan from appropriate network locations and confirm that controls work without disrupting legitimate business operations.</w:t>
      </w:r>
    </w:p>
    <w:p w14:paraId="638D739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security team should record the initial finding, risk rating, responsible owner, planned action, due date, and evidence of closure. Exceptions should require documented approval and an expiry or review date. Re-scanning after changes is essential because a firewall rule or service configuration may not have been applied as expected. The report should be shared with the system owner and retained in the organization's vulnerability-management process.</w:t>
      </w:r>
    </w:p>
    <w:p w14:paraId="4497BA39"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0BD0052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Immediate: restrict MySQL exposure and any unnecessary administrative access.</w:t>
      </w:r>
    </w:p>
    <w:p w14:paraId="4662B15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Short term: patch services, enforce HTTPS, and strengthen SSH authentication.</w:t>
      </w:r>
    </w:p>
    <w:p w14:paraId="5339257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Medium term: complete application testing, logging, and segmentation reviews.</w:t>
      </w:r>
    </w:p>
    <w:p w14:paraId="525F83E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Verify each remediation with an authorized re-scan and documented evidence.</w:t>
      </w:r>
    </w:p>
    <w:p w14:paraId="3552F7F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AFEFB5F"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32FE3A0A"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Introduction and campaign objectives</w:t>
      </w:r>
    </w:p>
    <w:p w14:paraId="5E0552E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Phishing is a social engineering technique in which an attacker uses a deceptive message to persuade a recipient to click a link, disclose credentials, open an attachment, approve a payment, or take another unsafe action. Messages may imitate a trusted colleague, service provider, bank, cloud platform, or senior executive. They often rely on urgency, fear, curiosity, authority, or an attractive reward to reduce careful decision-making.</w:t>
      </w:r>
    </w:p>
    <w:p w14:paraId="0D49FD0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GoPhish is an open-source platform used by security teams to run authorized phishing-awareness simulations. A controlled campaign can help an organization measure how employees respond to realistic-looking messages and identify where additional training or technical controls are needed. The reported campaign at ABC Technologies Pvt. Ltd. found that 40% of employees clicked the phishing link, 20% entered login credentials, and several users downloaded a malicious attachment. These results indicate a need to improve both employee awareness and organizational defenses.</w:t>
      </w:r>
    </w:p>
    <w:p w14:paraId="6A7D97B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phishing simulation should be conducted with management approval, a defined scope, privacy safeguards, and a clear learning objective. The purpose is not to shame individuals. It is to understand patterns, improve controls, and create a culture where staff can report suspicious messages quickly. Metrics should be interpreted carefully, because campaign design, role, workload, and message difficulty affect results. A single simulation is a baseline rather than a complete measure of security maturity.</w:t>
      </w:r>
    </w:p>
    <w:p w14:paraId="6F331A74"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168ACA7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Define the campaign scope and obtain formal authorization.</w:t>
      </w:r>
    </w:p>
    <w:p w14:paraId="658596C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Measure clicks, credential submissions, attachment actions, and reporting rates.</w:t>
      </w:r>
    </w:p>
    <w:p w14:paraId="50F6844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findings to improve training and technical defenses, not to embarrass employees.</w:t>
      </w:r>
    </w:p>
    <w:p w14:paraId="1C3D307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Repeat simulations over time to measure whether risk is decreasing.</w:t>
      </w:r>
    </w:p>
    <w:p w14:paraId="72785609"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0D898232"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6F54736E"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Interpreting the 40% click rate</w:t>
      </w:r>
    </w:p>
    <w:p w14:paraId="15DD36C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40% click rate means that a substantial portion of the campaign recipients followed the simulated phishing link. This may indicate that some employees did not inspect the sender carefully, trusted the message's branding, felt pressured by urgent language, or did not know how to preview a link safely. It can also mean that the message successfully resembled legitimate workplace communication. The number does not by itself prove that every click resulted in compromise.</w:t>
      </w:r>
    </w:p>
    <w:p w14:paraId="628C296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Clicking a link can lead to a fake sign-in page, a malicious download, a browser-based exploit attempt, or a page designed to collect information. Even when a modern browser blocks known harmful sites, employees should not rely solely on technical warnings. They should check whether the domain matches the expected service, consider whether the request is normal, and confirm unusual requests through a separate trusted channel.</w:t>
      </w:r>
    </w:p>
    <w:p w14:paraId="361DCAA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ABC Technologies should examine the simulated message and identify which signals were missed. Training should use examples relevant to the company's actual work, including document-sharing notifications, password-expiry notices, invoice messages, delivery alerts, and meeting invitations. Employees should learn to pause before clicking, inspect the full sender address, hover over links where appropriate, and navigate to known services using a saved bookmark or manually entered trusted address instead of a message link.</w:t>
      </w:r>
    </w:p>
    <w:p w14:paraId="2FF37DBF"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2B2BDA8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Teach employees to inspect sender addresses and domain spellings.</w:t>
      </w:r>
    </w:p>
    <w:p w14:paraId="4C6A8A1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Encourage use of known bookmarks for important business services.</w:t>
      </w:r>
    </w:p>
    <w:p w14:paraId="2E3F63A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Explain urgency, unusual requests, and unexpected attachments as warning signs.</w:t>
      </w:r>
    </w:p>
    <w:p w14:paraId="50DFB1D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Provide a simple report-phishing button or clear reporting address.</w:t>
      </w:r>
    </w:p>
    <w:p w14:paraId="30B6AF0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B661156"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45B3F000"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Interpreting the 20% credential-submission rate</w:t>
      </w:r>
    </w:p>
    <w:p w14:paraId="230B0F3C"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report states that 20% of employees entered their login credentials into the simulated phishing page. This is a particularly important finding because credentials can provide direct access to email, file storage, business applications, and remote-access systems. A compromised account may be used to impersonate an employee, search for confidential information, send internal phishing messages, or attempt password resets for other services. The ultimate impact depends on the account's permissions and the controls surrounding it.</w:t>
      </w:r>
    </w:p>
    <w:p w14:paraId="7A54457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Credential submission often occurs when a fake page looks familiar or when a message claims that access will be suspended unless the user signs in. Employees should understand that a familiar logo is not proof of authenticity. They should verify the website's actual domain and avoid entering passwords after following unexpected links. If a credential has been entered on a suspicious page, the employee should report it immediately rather than waiting to see whether anything unusual happens.</w:t>
      </w:r>
    </w:p>
    <w:p w14:paraId="0DF9C9D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Technical controls are equally important. Multi-factor authentication can reduce the risk of password-only compromise, while phishing-resistant methods such as FIDO2 security keys or passkeys offer stronger protection against fake sign-in pages when deployed correctly. Conditional access, risk-based sign-in detection, short session lifetimes for sensitive systems, and monitoring for unusual logins can further limit harm. MFA does not remove all risk, so staff still need training and rapid reporting procedures.</w:t>
      </w:r>
    </w:p>
    <w:p w14:paraId="42BFF379"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58EC4AA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Never request or collect real passwords in a training simulation.</w:t>
      </w:r>
    </w:p>
    <w:p w14:paraId="7BF93033"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Deploy MFA, prioritizing email, administrators, and sensitive applications.</w:t>
      </w:r>
    </w:p>
    <w:p w14:paraId="21BB099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Prefer phishing-resistant authentication for high-risk accounts where feasible.</w:t>
      </w:r>
    </w:p>
    <w:p w14:paraId="1F6ACF0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Provide a fast route for employees to report possible credential disclosure.</w:t>
      </w:r>
    </w:p>
    <w:p w14:paraId="5F9500B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7249E0D2"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1742BECB"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Malicious attachments and malware risk</w:t>
      </w:r>
    </w:p>
    <w:p w14:paraId="769E37C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report also indicates that several employees downloaded a malicious attachment. Attachments may be disguised as invoices, resumes, shipping documents, meeting notes, spreadsheets, or password-protected archives. Opening or enabling active content in a harmful file may execute malware, install a remote-access tool, steal information, or encrypt files for extortion. Some files exploit vulnerabilities in document readers or operating systems, while others rely on the recipient enabling macros or running a program.</w:t>
      </w:r>
    </w:p>
    <w:p w14:paraId="2ECFAD4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Employees should be trained to treat unexpected attachments cautiously, especially when the message creates pressure to act quickly or asks them to enable macros, bypass a warning, or install an unfamiliar viewer. They should verify the request with the sender using a separate communication channel. A known colleague's account can itself be compromised, so the fact that a message comes from a familiar name is not enough to guarantee safety.</w:t>
      </w:r>
    </w:p>
    <w:p w14:paraId="703870A9"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Technical protections should scan incoming attachments, block dangerous file types where appropriate, detonate suspicious files in a sandbox, and keep endpoint protection updated. Office applications can be configured to block macros from internet-originated files. Endpoint detection and response tools can help identify suspicious behavior after a file is downloaded. The organization should also maintain tested backups and an incident-response plan in case a malicious attachment reaches a device.</w:t>
      </w:r>
    </w:p>
    <w:p w14:paraId="4046EFB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7C6818A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Block or quarantine high-risk attachment types according to business need.</w:t>
      </w:r>
    </w:p>
    <w:p w14:paraId="408777B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sandboxing and updated anti-malware or EDR protection.</w:t>
      </w:r>
    </w:p>
    <w:p w14:paraId="2808A3C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Disable unnecessary macros and restrict executable content from email.</w:t>
      </w:r>
    </w:p>
    <w:p w14:paraId="6E803CF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Teach staff to report accidental downloads immediately and avoid hiding mistakes.</w:t>
      </w:r>
    </w:p>
    <w:p w14:paraId="48AFE5F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1F15EF8D"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2793BE41"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Employee awareness training programme</w:t>
      </w:r>
    </w:p>
    <w:p w14:paraId="69F688C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An effective awareness programme is continuous, practical, and relevant to the organization's work. A single annual presentation is unlikely to build reliable habits on its own. ABC Technologies should provide onboarding training for new employees and short refreshers throughout the year. Content should explain common phishing indicators, how to verify unusual requests, how to handle attachments, and how to report a suspected incident. Training should be accessible to employees with different roles, languages, technical backgrounds, and accessibility needs.</w:t>
      </w:r>
    </w:p>
    <w:p w14:paraId="31E9E08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Scenario-based learning is more effective than memorizing a long list of rules. Employees can review sample emails and identify warning signs such as mismatched domains, unexpected password requests, unusual payment instructions, poor contextual fit, or pressure to act immediately. Training should also explain that well-written messages can be fraudulent and that spelling mistakes are not the only warning sign. Staff should practice reporting messages through the organization's approved process.</w:t>
      </w:r>
    </w:p>
    <w:p w14:paraId="7456A72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After a simulation, employees who interact with the test can receive brief, respectful feedback that explains what signal was missed and what action to take next time. Additional coaching can be provided for roles with elevated exposure, such as finance, HR, IT support, executives, and employees who regularly handle confidential data. The organization should measure improvement over multiple campaigns and revise training based on actual patterns.</w:t>
      </w:r>
    </w:p>
    <w:p w14:paraId="3B5676E7"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7F1C548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Provide onboarding training and short periodic refreshers.</w:t>
      </w:r>
    </w:p>
    <w:p w14:paraId="7CE4C73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realistic examples relevant to each department's tasks.</w:t>
      </w:r>
    </w:p>
    <w:p w14:paraId="6FBB7E1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Give immediate, constructive feedback after simulations.</w:t>
      </w:r>
    </w:p>
    <w:p w14:paraId="06E134F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Offer role-specific training for finance, HR, executives, and IT staff.</w:t>
      </w:r>
    </w:p>
    <w:p w14:paraId="08B99DE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53EB8D45"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0E976E8E"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Email authentication and gateway security</w:t>
      </w:r>
    </w:p>
    <w:p w14:paraId="6278F2E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Email security begins before a message reaches an employee's inbox. Sender Policy Framework (SPF) allows a domain owner to publish which mail servers are authorized to send messages for the domain. DomainKeys Identified Mail (DKIM) uses a cryptographic signature to help receiving systems verify that signed parts of a message have not changed and that the signing domain takes responsibility for it. Domain-based Message Authentication, Reporting and Conformance (DMARC) allows a domain owner to specify how receivers should handle messages that fail authentication alignment and provides reporting mechanisms.</w:t>
      </w:r>
    </w:p>
    <w:p w14:paraId="550CA14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These controls help reduce domain spoofing, but they are not a complete solution. A compromised legitimate account may still send malicious email, and attackers can register look-alike domains. ABC Technologies should configure SPF, DKIM, and DMARC carefully, review reports, and move toward an appropriate enforcement policy after legitimate sending services have been identified. The organization should also protect its own domain from impersonation and ensure third-party email platforms are configured correctly.</w:t>
      </w:r>
    </w:p>
    <w:p w14:paraId="6092F9B4"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Email gateways should use reputation checks, spam filtering, URL analysis, attachment scanning, and impersonation detection. Links can be checked at delivery time and again when clicked because a website may become malicious later. Suspicious messages should be quarantined, and security teams need a process to search for and remove similar messages across mailboxes.</w:t>
      </w:r>
    </w:p>
    <w:p w14:paraId="018245FC"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7DC394FB"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Configure SPF, DKIM, and DMARC with careful monitoring and enforcement.</w:t>
      </w:r>
    </w:p>
    <w:p w14:paraId="5337697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anti-phishing filters, URL reputation checks, and attachment scanning.</w:t>
      </w:r>
    </w:p>
    <w:p w14:paraId="0FD6624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Detect look-alike domains and executive impersonation attempts.</w:t>
      </w:r>
    </w:p>
    <w:p w14:paraId="2E8552C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Enable organization-wide search and removal of confirmed malicious messages.</w:t>
      </w:r>
    </w:p>
    <w:p w14:paraId="4BC46D7C"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9A910CD"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75F671BE"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MFA, endpoint protection, and least privilege</w:t>
      </w:r>
    </w:p>
    <w:p w14:paraId="0A768E19"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Phishing defense must assume that some deceptive messages will get through. Multi-factor authentication adds a verification factor beyond a password, reducing the usefulness of a stolen password alone. For high-risk accounts, phishing-resistant authentication can offer stronger protection because it binds authentication to the legitimate service rather than a look-alike website. Organizations should protect recovery methods and session tokens as carefully as passwords, since attackers may target account recovery or attempt to steal active sessions.</w:t>
      </w:r>
    </w:p>
    <w:p w14:paraId="0136032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Endpoint protection provides another layer. Modern antivirus and endpoint detection and response (EDR) tools can block known malware and identify suspicious behavior, such as an unexpected process launching from a downloaded file or a program attempting to access many documents. Devices should receive timely operating-system and application updates. Users should not have local administrator privileges unless their role requires them, because elevated rights can make a malware incident more damaging.</w:t>
      </w:r>
    </w:p>
    <w:p w14:paraId="102430F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Least privilege should also apply to cloud applications, shared drives, email permissions, and service accounts. If one employee account is compromised, limited access can prevent the attacker from reaching unrelated systems. Security teams should review sign-in logs, detect unusual locations or impossible travel patterns where appropriate, and investigate suspicious inbox rules, forwarding settings, and consent grants.</w:t>
      </w:r>
    </w:p>
    <w:p w14:paraId="57761006"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67519B4B"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Enable MFA and prioritize phishing-resistant methods for sensitive accounts.</w:t>
      </w:r>
    </w:p>
    <w:p w14:paraId="40BF7DF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Keep operating systems, browsers, and document applications patched.</w:t>
      </w:r>
    </w:p>
    <w:p w14:paraId="0D51226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EDR and remove unnecessary local administrator rights.</w:t>
      </w:r>
    </w:p>
    <w:p w14:paraId="7CA1E54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Review access permissions and monitor anomalous account activity.</w:t>
      </w:r>
    </w:p>
    <w:p w14:paraId="69E55AB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1ED5DF72"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0DE9DE67"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Incident reporting and response procedures</w:t>
      </w:r>
    </w:p>
    <w:p w14:paraId="6005BB8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Employees should know exactly what to do when they suspect a phishing email or accidentally click a link, enter a password, or download a file. A clear reporting process reduces hesitation and helps the security team act while evidence is still available. The organization should provide a report-phishing button, a dedicated mailbox, or a help-desk workflow. Staff should be told not to forward dangerous attachments casually or investigate suspicious files themselves.</w:t>
      </w:r>
    </w:p>
    <w:p w14:paraId="56F921E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If credentials may have been disclosed, the response team should reset the affected password, revoke active sessions and refresh tokens where possible, review multi-factor authentication methods, and examine sign-in activity. If a file was downloaded or opened, the endpoint may need to be isolated from the network while responders inspect alerts and preserve evidence. The team should identify other recipients, search mailboxes for related messages, and block malicious domains or file hashes when reliable indicators are available.</w:t>
      </w:r>
    </w:p>
    <w:p w14:paraId="2E95B92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Response procedures should specify roles, escalation criteria, communication methods, and documentation requirements. Decisions about notification should follow applicable legal, contractual, and organizational requirements. After the incident, the team should conduct a lessons-learned review and update controls. Employees should be thanked for prompt reporting, even if they made an initial mistake, because early disclosure often reduces the overall impact.</w:t>
      </w:r>
    </w:p>
    <w:p w14:paraId="40EC4BFB"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442BB4F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Provide a clear, easy-to-find reporting channel.</w:t>
      </w:r>
    </w:p>
    <w:p w14:paraId="5BCA97A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Revoke sessions and reset credentials when compromise is suspected.</w:t>
      </w:r>
    </w:p>
    <w:p w14:paraId="06291B1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Isolate affected devices and preserve evidence when malware is possible.</w:t>
      </w:r>
    </w:p>
    <w:p w14:paraId="720216E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Conduct a lessons-learned review and update controls after incidents.</w:t>
      </w:r>
    </w:p>
    <w:p w14:paraId="55348C6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5BFC37F1"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75FB0C89"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Organizational policies and employee responsibilities</w:t>
      </w:r>
    </w:p>
    <w:p w14:paraId="3B1CEAD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Written policies turn awareness into consistent workplace behavior. ABC Technologies should maintain an acceptable-use policy, an email and messaging policy, a credential-handling standard, an attachment-handling procedure, and a process for reporting security incidents. Policies should state that employees must not share passwords, approve unexpected authentication prompts, bypass security warnings, or use unapproved tools to transfer confidential information. They should also define how sensitive requests are verified.</w:t>
      </w:r>
    </w:p>
    <w:p w14:paraId="5F6B0D4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Policies should be practical rather than purely punitive. Employees need to know which team to contact, what information to provide, and what happens after a report is submitted. Managers should reinforce safe practices and avoid pressuring staff to bypass controls to meet deadlines. Senior leaders should model the same behaviors expected of all employees. Security policies should be reviewed regularly and updated when the organization's systems, threats, or legal obligations change.</w:t>
      </w:r>
    </w:p>
    <w:p w14:paraId="28EA4E31"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Privacy and fairness are important in phishing simulations. The organization should limit access to individual-level results, explain the purpose of the exercise, and use the results to support learning and risk reduction. Reports to management can emphasize trends by department or role while avoiding unnecessary exposure of personal details. Any disciplinary approach should be governed by transparent policy and should not discourage employees from reporting real incidents.</w:t>
      </w:r>
    </w:p>
    <w:p w14:paraId="3FC67402"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3B5D522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Publish clear policies for email, passwords, attachments, and incident reporting.</w:t>
      </w:r>
    </w:p>
    <w:p w14:paraId="0624C14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Verify payment, payroll, and sensitive-data requests through a second channel.</w:t>
      </w:r>
    </w:p>
    <w:p w14:paraId="4B17ECA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Ensure managers model safe behavior and respect security controls.</w:t>
      </w:r>
    </w:p>
    <w:p w14:paraId="6FDF9CE9"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Protect simulation results and use them fairly to improve awareness.</w:t>
      </w:r>
    </w:p>
    <w:p w14:paraId="70937E5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562DECB"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2 — GOPHISH PHISHING AWARENESS ANALYSIS</w:t>
      </w:r>
    </w:p>
    <w:p w14:paraId="1D09F015"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Metrics, evaluation, and improvement plan</w:t>
      </w:r>
    </w:p>
    <w:p w14:paraId="214C236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campaign provides a useful baseline: 40% clicked a link, 20% entered credentials, and several downloaded an attachment. These figures should be supplemented with the number of recipients, the number who reported the message, the time taken to report, and the proportion who completed follow-up training. Because actions can overlap, the click rate and credential-submission rate should not be added together as though they were separate groups. The organization should also record the scenario and difficulty level so that results can be compared fairly over time.</w:t>
      </w:r>
    </w:p>
    <w:p w14:paraId="00F7151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Useful indicators include the rate of link clicks, credential submission, attachment execution or download, user reporting, and median time to report. A lower click rate is helpful, but a higher reporting rate can be equally important because it shows that employees are actively helping the security team. Metrics should be interpreted with context and should not be used as the only measure of an employee's competence.</w:t>
      </w:r>
    </w:p>
    <w:p w14:paraId="21F0D1B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ABC Technologies can set realistic improvement targets after establishing its baseline. For example, it may aim to reduce credential submissions in subsequent simulations, increase reporting rates, and ensure that employees who need coaching complete it. The security team should test technical controls, review email gateway detections, and share aggregate lessons with management. A repeated cycle of simulation, training, control improvement, and measurement will provide stronger evidence of progress than a one-time campaign.</w:t>
      </w:r>
    </w:p>
    <w:p w14:paraId="2EA9784D"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3678F0C3"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Track clicks, credential submissions, attachment actions, and reports.</w:t>
      </w:r>
    </w:p>
    <w:p w14:paraId="58B92F4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Compare results across campaigns with similar scope and difficulty.</w:t>
      </w:r>
    </w:p>
    <w:p w14:paraId="5358D05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Set measurable improvement goals and review them with management.</w:t>
      </w:r>
    </w:p>
    <w:p w14:paraId="113DE0B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findings to improve both human behavior and technical controls.</w:t>
      </w:r>
    </w:p>
    <w:p w14:paraId="0DE1B18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26646FF8"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76285475"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Introduction to DNS and Dig</w:t>
      </w:r>
    </w:p>
    <w:p w14:paraId="043D04C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Domain Name System (DNS) translates human-readable domain names into information that computers use to locate services. Common DNS records include A and AAAA records for IP addresses, MX records for mail servers, CNAME records for aliases, and NS records for authoritative name servers. DNS is a foundational service for websites, email, authentication workflows, and many internal applications, so its configuration has a direct effect on availability and security.</w:t>
      </w:r>
    </w:p>
    <w:p w14:paraId="33EC9B3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Dig is a command-line utility used to query DNS servers and inspect their responses. Administrators use it to troubleshoot name resolution, verify records, and diagnose DNS configuration issues. An assessment using Dig can reveal whether a server answers ordinary DNS queries and whether it permits operations such as a zone transfer. The report in this question indicates that the organization's DNS server permits a successful AXFR request.</w:t>
      </w:r>
    </w:p>
    <w:p w14:paraId="170B2F7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DNS zone is a portion of the DNS namespace managed as a unit. Zone transfers are commonly used to replicate DNS data from a primary authoritative server to an authorized secondary server. They are a legitimate administrative function, but they should not normally be available to arbitrary hosts. An unrestricted AXFR response can disclose a large collection of DNS records and provide an outsider with a detailed view of the organization's naming structure.</w:t>
      </w:r>
    </w:p>
    <w:p w14:paraId="23281789"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541BA48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Identify authoritative DNS servers and their roles.</w:t>
      </w:r>
    </w:p>
    <w:p w14:paraId="4384C7D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Understand the purpose of A, AAAA, MX, CNAME, NS, and TXT records.</w:t>
      </w:r>
    </w:p>
    <w:p w14:paraId="57F4087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Dig only within authorized assessment scope.</w:t>
      </w:r>
    </w:p>
    <w:p w14:paraId="47F5398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Treat zone-transfer permissions as a configuration control to verify.</w:t>
      </w:r>
    </w:p>
    <w:p w14:paraId="25AE009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1F5A3C76"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63CE41E6"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What a successful AXFR reveals</w:t>
      </w:r>
    </w:p>
    <w:p w14:paraId="7AC2F5E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 successful AXFR can return the records contained in a DNS zone, rather than only the small set of records normally requested for a single hostname. Depending on the zone's contents, this may reveal hostnames, IP address mappings, mail servers, aliases, name servers, and other published metadata. Some records may identify development, testing, monitoring, remote access, or administrative systems. Even if these records are not confidential in isolation, the combined list can make infrastructure easier to understand.</w:t>
      </w:r>
    </w:p>
    <w:p w14:paraId="245FDD6F"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report states that internal hostnames, mail servers, and DNS records were exposed. The word “internal” requires care: a public authoritative zone should generally contain only records intended for public DNS, while private internal zones should be served through controlled internal DNS infrastructure. If internal-only names appear in a zone that an external party can transfer, the organization may have mixed internal and external data or applied overly broad transfer permissions.</w:t>
      </w:r>
    </w:p>
    <w:p w14:paraId="0CBEA86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severity depends on which records were disclosed and who could obtain them. A zone transfer does not automatically reveal passwords or grant access to the named hosts. However, it can reduce the effort needed for reconnaissance and may expose naming patterns or overlooked systems. The organization should preserve the assessment evidence, identify the affected zone, determine whether the server was reachable externally, and review the full set of transferred records for sensitive or unintended information.</w:t>
      </w:r>
    </w:p>
    <w:p w14:paraId="094EDF98"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31E486D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List all records returned by the authorized assessment.</w:t>
      </w:r>
    </w:p>
    <w:p w14:paraId="2715978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Determine whether the zone was intended to be public or private.</w:t>
      </w:r>
    </w:p>
    <w:p w14:paraId="02641E4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Identify sensitive hostnames and unnecessary records.</w:t>
      </w:r>
    </w:p>
    <w:p w14:paraId="55EAF8D0"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Assess whether the transfer was possible from untrusted networks.</w:t>
      </w:r>
    </w:p>
    <w:p w14:paraId="32582E0A"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7BEB0461"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0213F9C6"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Security implications and business impact</w:t>
      </w:r>
    </w:p>
    <w:p w14:paraId="5361D03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primary security implication of unrestricted AXFR is information disclosure. Detailed DNS records may reveal how an organization names systems, separates environments, or routes email. This information can help an attacker identify likely targets and develop more convincing social engineering messages. For example, a hostname suggesting a remote access gateway or development environment may draw attention, although the name alone does not prove that the service is vulnerable.</w:t>
      </w:r>
    </w:p>
    <w:p w14:paraId="6A7D72B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exposed records can also assist targeted reconnaissance. An attacker may combine hostnames and IP addresses with other publicly available information to identify software, hosting providers, or externally reachable services. Mail-server records can reveal which systems receive email and may help an attacker understand the organization's mail infrastructure. If internal records are exposed, they may disclose non-public system names or private addressing patterns that were not intended for external access.</w:t>
      </w:r>
    </w:p>
    <w:p w14:paraId="69A607A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Business impacts can include increased risk of targeted attacks, greater likelihood of discovery of overlooked systems, and additional workload for security and infrastructure teams. In regulated environments, unintended disclosure of infrastructure details may also trigger internal reporting or compliance review, depending on policy and context. The organization should distinguish direct impact from possible downstream use: AXFR itself is an information disclosure issue, while compromise of another service would require additional weaknesses or attack steps.</w:t>
      </w:r>
    </w:p>
    <w:p w14:paraId="21808E93"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5BEA6F5F"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Recognize AXFR as an information-disclosure risk, not automatic system compromise.</w:t>
      </w:r>
    </w:p>
    <w:p w14:paraId="4BBF84C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Assess the usefulness of exposed records to reconnaissance and phishing.</w:t>
      </w:r>
    </w:p>
    <w:p w14:paraId="0D55840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Determine whether internal naming information was unintentionally published.</w:t>
      </w:r>
    </w:p>
    <w:p w14:paraId="24B71A8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Document potential business impact and prioritize corrective action.</w:t>
      </w:r>
    </w:p>
    <w:p w14:paraId="1F81449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3D30703A"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064E3D16"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How attackers may use exposed DNS data</w:t>
      </w:r>
    </w:p>
    <w:p w14:paraId="028A2A9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An attacker who can obtain a zone file may first organize the records by hostname, address, and service role. Names can suggest whether a system supports email, remote access, testing, monitoring, or administration. The attacker may then compare this information with other public sources and identify systems that appear to be externally reachable. This is reconnaissance: it helps an attacker decide where to look next, but it does not by itself establish that any target is exploitable.</w:t>
      </w:r>
    </w:p>
    <w:p w14:paraId="098FD1A6"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Exposed DNS data can also support more targeted phishing. Knowledge of real hostnames, mail gateways, business units, or service names can make fraudulent messages appear more believable. In some cases, the records may reveal abandoned names or outdated infrastructure that the organization has forgotten to remove. Such systems should be verified by defenders rather than assumed vulnerable.</w:t>
      </w:r>
    </w:p>
    <w:p w14:paraId="6D6A8008"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organization should respond by checking the transferred data, reviewing external exposure, and validating the configuration from an authorized testing position. Security teams should avoid publishing a list of sensitive hostnames more widely than necessary while investigating. If evidence suggests that attackers have accessed the zone, the team should correlate DNS logs, firewall records, and relevant service logs to determine whether the information was followed by other activity. The incident response should focus on verified evidence rather than assuming that every exposed hostname has been attacked.</w:t>
      </w:r>
    </w:p>
    <w:p w14:paraId="29BEA29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11714B5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exposed names to guide defensive asset validation, not unsupported assumptions.</w:t>
      </w:r>
    </w:p>
    <w:p w14:paraId="4264D89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Review public-facing systems for patching and access-control weaknesses.</w:t>
      </w:r>
    </w:p>
    <w:p w14:paraId="31D626B2"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Check for abandoned or unnecessary DNS records.</w:t>
      </w:r>
    </w:p>
    <w:p w14:paraId="7F974E9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Correlate DNS activity with firewall and service logs when investigating.</w:t>
      </w:r>
    </w:p>
    <w:p w14:paraId="6AAE94C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68D75DF"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3BEFC9F9"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Restricting zone transfers</w:t>
      </w:r>
    </w:p>
    <w:p w14:paraId="792426C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primary remediation is to configure authoritative DNS servers so that zone transfers are allowed only to explicitly authorized secondary name servers. The administrator should review each zone's transfer policy and remove broad or default permissions that allow arbitrary hosts to request AXFR. Access control lists should specify approved destination servers, and firewall rules should further limit transfer traffic to the expected network paths where practical.</w:t>
      </w:r>
    </w:p>
    <w:p w14:paraId="7AEF9705"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Transfer permissions should be tested after configuration changes. A successful transfer from an authorized secondary server should continue to work, while an unauthorized source should be denied. Testing should be performed under an approved change plan to avoid disrupting DNS replication. Organizations should document the primary and secondary servers, their addresses, ownership, and the operational reason for each transfer relationship.</w:t>
      </w:r>
    </w:p>
    <w:p w14:paraId="5481A402"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Access restrictions are stronger when combined with authentication. Transaction Signature (TSIG) can authenticate DNS messages between supported servers and is commonly used to protect zone-transfer relationships. TSIG keys should be generated and stored securely, rotated according to policy, and shared only with the servers that require them. It is important to remember that TSIG is not a substitute for correct access control; both should be configured appropriately.</w:t>
      </w:r>
    </w:p>
    <w:p w14:paraId="0C7DD10C"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51C9778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Allow AXFR only to explicitly authorized secondary DNS servers.</w:t>
      </w:r>
    </w:p>
    <w:p w14:paraId="38FC2CEC"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ACLs and network rules to limit transfer sources.</w:t>
      </w:r>
    </w:p>
    <w:p w14:paraId="3D542543"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Configure TSIG authentication where supported and appropriate.</w:t>
      </w:r>
    </w:p>
    <w:p w14:paraId="602658C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Test that legitimate replication works and unauthorized transfers fail.</w:t>
      </w:r>
    </w:p>
    <w:p w14:paraId="3A28912D"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41563EB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24B1DF3C"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Internal and external DNS separation</w:t>
      </w:r>
    </w:p>
    <w:p w14:paraId="56CDBCF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Organizations should separate information intended for public resolution from information used only inside the organization. Public DNS zones contain the records needed for external users to reach public services. Private DNS zones contain internal names and addresses used by employees, applications, and infrastructure. Mixing these roles can unintentionally disclose internal hostnames and system relationships.</w:t>
      </w:r>
    </w:p>
    <w:p w14:paraId="2DD7241A"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Split-horizon DNS, also called split-view DNS, allows different DNS answers to be provided depending on the requesting network or resolver. For example, an internal user may receive a private address for an internal service, while an external user receives only the public records intended for them. This design must be implemented carefully so that private zones are not accidentally exposed through public authoritative servers or unrestricted transfers.</w:t>
      </w:r>
    </w:p>
    <w:p w14:paraId="3190C12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 xml:space="preserve">The organization should review which records are necessary in each zone and remove stale, duplicate, or unnecessary entries. Hostnames should avoid revealing sensitive </w:t>
      </w:r>
      <w:proofErr w:type="gramStart"/>
      <w:r w:rsidRPr="003F112B">
        <w:rPr>
          <w:rFonts w:cs="Times New Roman"/>
          <w:sz w:val="24"/>
          <w:szCs w:val="24"/>
        </w:rPr>
        <w:t>details</w:t>
      </w:r>
      <w:proofErr w:type="gramEnd"/>
      <w:r w:rsidRPr="003F112B">
        <w:rPr>
          <w:rFonts w:cs="Times New Roman"/>
          <w:sz w:val="24"/>
          <w:szCs w:val="24"/>
        </w:rPr>
        <w:t xml:space="preserve"> when possible, although obscuring names is not a replacement for access control. Internal DNS servers should be reachable only by authorized networks, and public DNS servers should contain only approved external data. Changes should be documented and validated with both internal and external queries.</w:t>
      </w:r>
    </w:p>
    <w:p w14:paraId="194EC87E"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7E6E3CA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Maintain separate public and private DNS zones where appropriate.</w:t>
      </w:r>
    </w:p>
    <w:p w14:paraId="661992F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split-horizon DNS carefully to provide network-appropriate answers.</w:t>
      </w:r>
    </w:p>
    <w:p w14:paraId="7E279525"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Remove stale records and avoid unnecessary internal metadata in public zones.</w:t>
      </w:r>
    </w:p>
    <w:p w14:paraId="4F91ABF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Test DNS responses from both internal and external viewpoints.</w:t>
      </w:r>
    </w:p>
    <w:p w14:paraId="227F28E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0351F227"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79C384C7"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DNS server hardening and operational practices</w:t>
      </w:r>
    </w:p>
    <w:p w14:paraId="5CC9B27E"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DNS security depends on more than zone-transfer restrictions. DNS server software should be kept supported and patched, administrative access should be limited, and configuration files should be protected against unauthorized modification. Unnecessary services and recursion should be disabled or restricted on authoritative-only servers according to the server's role. Recursive resolvers should be configured to serve only the clients that are meant to use them, helping reduce abuse and misconfiguration.</w:t>
      </w:r>
    </w:p>
    <w:p w14:paraId="40D1616B"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Administrators should use change control for DNS updates and maintain a reliable inventory of zones, records, and name servers. Zone files and configuration backups should be protected and recoverable. Access to DNS administration consoles should use strong authentication and least privilege. Where supported, DNS logging and monitoring should record transfer requests, configuration changes, and unusual query patterns while balancing operational needs and privacy.</w:t>
      </w:r>
    </w:p>
    <w:p w14:paraId="3B9310F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Availability is also important. DNS changes should be tested before deployment, and the organization should maintain redundant authoritative servers and recovery procedures appropriate to business needs. DNSSEC may help protect the authenticity and integrity of DNS data through cryptographic signatures, but it does not prevent an unauthorized zone transfer. DNSSEC and AXFR access control address different risks and should not be confused.</w:t>
      </w:r>
    </w:p>
    <w:p w14:paraId="13FE1445"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155C5451"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Patch DNS software and restrict administrative access.</w:t>
      </w:r>
    </w:p>
    <w:p w14:paraId="121B5237"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Limit recursive resolution to intended clients.</w:t>
      </w:r>
    </w:p>
    <w:p w14:paraId="3D2DB098"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Protect zone files, backups, and configuration changes.</w:t>
      </w:r>
    </w:p>
    <w:p w14:paraId="1CDC7BE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Use redundancy, monitoring, and tested recovery procedures.</w:t>
      </w:r>
    </w:p>
    <w:p w14:paraId="518B229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1BADF7C"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591C6FB6" w14:textId="4EF1A5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Monitoring, verification, and incident response</w:t>
      </w:r>
    </w:p>
    <w:p w14:paraId="32F686E3"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After restricting AXFR, the security team should verify the result from both authorized and unauthorized network locations within the approved assessment scope. The authorized secondary server should still be able to replicate the zone, while an unrelated host should receive a refusal or other expected denial. Configuration should be checked on every authoritative server, not just one machine, because a secondary or legacy server may retain the same weakness.</w:t>
      </w:r>
    </w:p>
    <w:p w14:paraId="36A1904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Monitoring can identify repeated AXFR attempts from unexpected addresses, changes to transfer settings, and unusual DNS activity. Logs should be retained according to policy and protected against unauthorized alteration. Alerts should be meaningful and routed to staff who can investigate them. The team should also examine whether the exposed records included internal-only names, whether the information was accessed by unknown parties, and whether other security events occurred around the same period.</w:t>
      </w:r>
    </w:p>
    <w:p w14:paraId="6F28B72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If unauthorized access is suspected, the incident response team should preserve DNS logs and relevant network evidence, correct the misconfiguration, and evaluate the need for additional investigation or notification. Changing hostnames alone is usually not sufficient because names may already have been collected and may not be the root cause. The main corrective action is to restrict transfers, separate zones appropriately, and ensure that any exposed services are independently secured.</w:t>
      </w:r>
    </w:p>
    <w:p w14:paraId="08073853"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1808840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Verify the corrected configuration from approved test locations.</w:t>
      </w:r>
    </w:p>
    <w:p w14:paraId="19BD92AE"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Confirm every primary and secondary server follows the same policy.</w:t>
      </w:r>
    </w:p>
    <w:p w14:paraId="18B0CF0A"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Monitor unexpected AXFR requests and DNS configuration changes.</w:t>
      </w:r>
    </w:p>
    <w:p w14:paraId="52038474"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Preserve evidence and investigate related activity if compromise is suspected.</w:t>
      </w:r>
    </w:p>
    <w:p w14:paraId="6BFD3D77"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br w:type="page"/>
      </w:r>
    </w:p>
    <w:p w14:paraId="6D2BEA93"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lastRenderedPageBreak/>
        <w:t>QUESTION 3 — DNS ZONE TRANSFER (AXFR) ASSESSMENT</w:t>
      </w:r>
    </w:p>
    <w:p w14:paraId="48D2FC6B" w14:textId="77777777" w:rsidR="00E17E46" w:rsidRPr="003F112B" w:rsidRDefault="00000000" w:rsidP="003F112B">
      <w:pPr>
        <w:pStyle w:val="Heading1"/>
        <w:spacing w:line="360" w:lineRule="auto"/>
        <w:jc w:val="both"/>
        <w:rPr>
          <w:rFonts w:ascii="Times New Roman" w:hAnsi="Times New Roman" w:cs="Times New Roman"/>
          <w:sz w:val="24"/>
          <w:szCs w:val="24"/>
        </w:rPr>
      </w:pPr>
      <w:r w:rsidRPr="003F112B">
        <w:rPr>
          <w:rFonts w:ascii="Times New Roman" w:hAnsi="Times New Roman" w:cs="Times New Roman"/>
          <w:sz w:val="24"/>
          <w:szCs w:val="24"/>
        </w:rPr>
        <w:t>Conclusion and recommendations</w:t>
      </w:r>
    </w:p>
    <w:p w14:paraId="612A67D1"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Dig assessment identified a successful DNS zone transfer that exposed hostnames, mail servers, and DNS records. This indicates that the DNS server's transfer policy may be too permissive. The immediate concern is information disclosure: an outside party may be able to obtain a structured view of the organization's DNS zone and use it to support further reconnaissance. The finding does not by itself prove that the listed hosts are vulnerable or that an attacker has gained access to them.</w:t>
      </w:r>
    </w:p>
    <w:p w14:paraId="32DD99B0"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The organization should first identify the affected zones and determine whether the transfer was possible from an untrusted network. It should then restrict transfers to approved secondary DNS servers, apply ACLs and appropriate firewall rules, and use TSIG authentication where supported. Internal and external DNS data should be separated when needed, unnecessary records should be removed, and DNS software and administrative access should be hardened. After remediation, the team should perform authorized verification and retain evidence that unauthorized transfers are denied.</w:t>
      </w:r>
    </w:p>
    <w:p w14:paraId="7A5DC9D4" w14:textId="77777777" w:rsidR="00E17E46" w:rsidRPr="003F112B" w:rsidRDefault="00000000" w:rsidP="003F112B">
      <w:pPr>
        <w:spacing w:line="360" w:lineRule="auto"/>
        <w:jc w:val="both"/>
        <w:rPr>
          <w:rFonts w:cs="Times New Roman"/>
          <w:sz w:val="24"/>
          <w:szCs w:val="24"/>
        </w:rPr>
      </w:pPr>
      <w:r w:rsidRPr="003F112B">
        <w:rPr>
          <w:rFonts w:cs="Times New Roman"/>
          <w:sz w:val="24"/>
          <w:szCs w:val="24"/>
        </w:rPr>
        <w:t>Long-term protection requires a documented DNS inventory, clear ownership, regular configuration reviews, monitoring, and tested recovery procedures. DNSSEC can improve data authenticity but does not replace AXFR access restrictions. By combining least privilege, proper zone design, authenticated replication, patching, and monitoring, the organization can reduce DNS information disclosure and make reconnaissance more difficult.</w:t>
      </w:r>
    </w:p>
    <w:p w14:paraId="7B14C27F" w14:textId="77777777" w:rsidR="00E17E46" w:rsidRPr="003F112B" w:rsidRDefault="00000000" w:rsidP="003F112B">
      <w:pPr>
        <w:spacing w:line="360" w:lineRule="auto"/>
        <w:jc w:val="both"/>
        <w:rPr>
          <w:rFonts w:cs="Times New Roman"/>
          <w:sz w:val="24"/>
          <w:szCs w:val="24"/>
        </w:rPr>
      </w:pPr>
      <w:r w:rsidRPr="003F112B">
        <w:rPr>
          <w:rFonts w:cs="Times New Roman"/>
          <w:b/>
          <w:sz w:val="24"/>
          <w:szCs w:val="24"/>
        </w:rPr>
        <w:t>Key points / recommended actions</w:t>
      </w:r>
    </w:p>
    <w:p w14:paraId="66768556"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Restrict AXFR to known secondary servers and authenticate transfers.</w:t>
      </w:r>
    </w:p>
    <w:p w14:paraId="6BE6102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Separate internal and external DNS information.</w:t>
      </w:r>
    </w:p>
    <w:p w14:paraId="740789AD"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Patch, monitor, and periodically audit DNS infrastructure.</w:t>
      </w:r>
    </w:p>
    <w:p w14:paraId="6039B173" w14:textId="77777777" w:rsidR="00E17E46" w:rsidRPr="003F112B" w:rsidRDefault="00000000" w:rsidP="003F112B">
      <w:pPr>
        <w:pStyle w:val="ListBullet"/>
        <w:spacing w:after="60" w:line="360" w:lineRule="auto"/>
        <w:jc w:val="both"/>
        <w:rPr>
          <w:rFonts w:cs="Times New Roman"/>
          <w:sz w:val="24"/>
          <w:szCs w:val="24"/>
        </w:rPr>
      </w:pPr>
      <w:r w:rsidRPr="003F112B">
        <w:rPr>
          <w:rFonts w:cs="Times New Roman"/>
          <w:sz w:val="24"/>
          <w:szCs w:val="24"/>
        </w:rPr>
        <w:t>Re-test the fix and document the remediation evidence.</w:t>
      </w:r>
    </w:p>
    <w:sectPr w:rsidR="00E17E46" w:rsidRPr="003F112B" w:rsidSect="003F112B">
      <w:headerReference w:type="default" r:id="rId8"/>
      <w:footerReference w:type="default" r:id="rId9"/>
      <w:pgSz w:w="12240" w:h="15840"/>
      <w:pgMar w:top="1037" w:right="1181" w:bottom="979" w:left="1181"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D3396" w14:textId="77777777" w:rsidR="00504BC4" w:rsidRDefault="00504BC4">
      <w:pPr>
        <w:spacing w:after="0" w:line="240" w:lineRule="auto"/>
      </w:pPr>
      <w:r>
        <w:separator/>
      </w:r>
    </w:p>
  </w:endnote>
  <w:endnote w:type="continuationSeparator" w:id="0">
    <w:p w14:paraId="49B2526E" w14:textId="77777777" w:rsidR="00504BC4" w:rsidRDefault="00504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381088"/>
      <w:docPartObj>
        <w:docPartGallery w:val="Page Numbers (Bottom of Page)"/>
        <w:docPartUnique/>
      </w:docPartObj>
    </w:sdtPr>
    <w:sdtEndPr>
      <w:rPr>
        <w:noProof/>
      </w:rPr>
    </w:sdtEndPr>
    <w:sdtContent>
      <w:p w14:paraId="099F9ADD" w14:textId="37F55DBB" w:rsidR="003F112B" w:rsidRDefault="003F112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4D5080" w14:textId="4606B020" w:rsidR="00E17E46" w:rsidRDefault="00E17E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1E3EC" w14:textId="77777777" w:rsidR="00504BC4" w:rsidRDefault="00504BC4">
      <w:pPr>
        <w:spacing w:after="0" w:line="240" w:lineRule="auto"/>
      </w:pPr>
      <w:r>
        <w:separator/>
      </w:r>
    </w:p>
  </w:footnote>
  <w:footnote w:type="continuationSeparator" w:id="0">
    <w:p w14:paraId="18FAC055" w14:textId="77777777" w:rsidR="00504BC4" w:rsidRDefault="00504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8AD99" w14:textId="77777777" w:rsidR="00E17E46" w:rsidRDefault="00000000">
    <w:pPr>
      <w:pStyle w:val="Header"/>
      <w:jc w:val="center"/>
    </w:pPr>
    <w:r>
      <w:rPr>
        <w:sz w:val="18"/>
      </w:rPr>
      <w:t>REPORT ANALYSIS — NETWORK AND INFORMATION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779855">
    <w:abstractNumId w:val="8"/>
  </w:num>
  <w:num w:numId="2" w16cid:durableId="1505585200">
    <w:abstractNumId w:val="6"/>
  </w:num>
  <w:num w:numId="3" w16cid:durableId="1489593452">
    <w:abstractNumId w:val="5"/>
  </w:num>
  <w:num w:numId="4" w16cid:durableId="1613783476">
    <w:abstractNumId w:val="4"/>
  </w:num>
  <w:num w:numId="5" w16cid:durableId="533158620">
    <w:abstractNumId w:val="7"/>
  </w:num>
  <w:num w:numId="6" w16cid:durableId="575014924">
    <w:abstractNumId w:val="3"/>
  </w:num>
  <w:num w:numId="7" w16cid:durableId="435519057">
    <w:abstractNumId w:val="2"/>
  </w:num>
  <w:num w:numId="8" w16cid:durableId="1115561065">
    <w:abstractNumId w:val="1"/>
  </w:num>
  <w:num w:numId="9" w16cid:durableId="552542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112B"/>
    <w:rsid w:val="00504BC4"/>
    <w:rsid w:val="00640621"/>
    <w:rsid w:val="00684477"/>
    <w:rsid w:val="00A65708"/>
    <w:rsid w:val="00AA1D8D"/>
    <w:rsid w:val="00B47730"/>
    <w:rsid w:val="00CB0664"/>
    <w:rsid w:val="00E17E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E1691"/>
  <w14:defaultImageDpi w14:val="300"/>
  <w15:docId w15:val="{D85E6E17-DBF5-47C4-9879-0E1D5A2D8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8234</Words>
  <Characters>46936</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Lavanya</cp:lastModifiedBy>
  <cp:revision>3</cp:revision>
  <dcterms:created xsi:type="dcterms:W3CDTF">2026-10-23T08:15:00Z</dcterms:created>
  <dcterms:modified xsi:type="dcterms:W3CDTF">2026-10-23T08:17:00Z</dcterms:modified>
  <cp:category/>
</cp:coreProperties>
</file>