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2961" w14:textId="76517ED9" w:rsidR="001D467C" w:rsidRDefault="001C7119">
      <w:r>
        <w:t>Hi Julia,</w:t>
      </w:r>
    </w:p>
    <w:p w14:paraId="2F7C3B60" w14:textId="32C36958" w:rsidR="001C7119" w:rsidRDefault="001C7119">
      <w:r>
        <w:tab/>
        <w:t xml:space="preserve">According to my analysis I have gained following insights: </w:t>
      </w:r>
    </w:p>
    <w:p w14:paraId="59590D6C" w14:textId="6BEB233E" w:rsidR="001C7119" w:rsidRDefault="001C7119" w:rsidP="001C7119">
      <w:pPr>
        <w:pStyle w:val="ListParagraph"/>
        <w:numPr>
          <w:ilvl w:val="0"/>
          <w:numId w:val="1"/>
        </w:numPr>
      </w:pPr>
      <w:r>
        <w:t>T</w:t>
      </w:r>
      <w:r>
        <w:t>he increase in sales occurs in the lead-up to Christmas and that there are zero sales on</w:t>
      </w:r>
    </w:p>
    <w:p w14:paraId="0DAD2C57" w14:textId="1C609873" w:rsidR="001C7119" w:rsidRDefault="001C7119" w:rsidP="001C7119">
      <w:pPr>
        <w:pStyle w:val="ListParagraph"/>
      </w:pPr>
      <w:r>
        <w:t>Christmas day itself. This is due to shops being closed on Christmas day</w:t>
      </w:r>
    </w:p>
    <w:p w14:paraId="40C53544" w14:textId="69D37944" w:rsidR="001C7119" w:rsidRPr="001C7119" w:rsidRDefault="001C7119" w:rsidP="001C7119">
      <w:pPr>
        <w:pStyle w:val="ListParagraph"/>
        <w:numPr>
          <w:ilvl w:val="0"/>
          <w:numId w:val="1"/>
        </w:numPr>
      </w:pPr>
      <w:r>
        <w:rPr>
          <w:rFonts w:ascii="LMRoman10-Regular" w:hAnsi="LMRoman10-Regular" w:cs="LMRoman10-Regular"/>
          <w:sz w:val="20"/>
          <w:szCs w:val="20"/>
        </w:rPr>
        <w:t>The largest size is 380g and the smallest size is 70g</w:t>
      </w:r>
      <w:r>
        <w:rPr>
          <w:rFonts w:ascii="LMRoman10-Regular" w:hAnsi="LMRoman10-Regular" w:cs="LMRoman10-Regular"/>
          <w:sz w:val="20"/>
          <w:szCs w:val="20"/>
        </w:rPr>
        <w:t xml:space="preserve">. </w:t>
      </w:r>
    </w:p>
    <w:p w14:paraId="70E0060F" w14:textId="57CE5F0B" w:rsidR="001C7119" w:rsidRDefault="001C7119" w:rsidP="001C7119">
      <w:pPr>
        <w:pStyle w:val="ListParagraph"/>
        <w:numPr>
          <w:ilvl w:val="0"/>
          <w:numId w:val="1"/>
        </w:numPr>
      </w:pPr>
      <w:r>
        <w:t>There are more Mainstream - young singles/couples and Mainstream - retirees who buy chips. This contributes</w:t>
      </w:r>
      <w:r>
        <w:t xml:space="preserve"> </w:t>
      </w:r>
      <w:r>
        <w:t xml:space="preserve">to there being more sales to these customer segments but this is not a major driver for the Budget </w:t>
      </w:r>
      <w:r>
        <w:t>–</w:t>
      </w:r>
      <w:r>
        <w:t xml:space="preserve"> Olde</w:t>
      </w:r>
      <w:r>
        <w:t>r families</w:t>
      </w:r>
      <w:r>
        <w:t xml:space="preserve"> segment. Higher sales may also be driven by more units of chips being bought per customer</w:t>
      </w:r>
      <w:r>
        <w:t xml:space="preserve">. </w:t>
      </w:r>
      <w:r w:rsidRPr="001C7119">
        <w:t>Older families and young families in general buy more chips per customer</w:t>
      </w:r>
    </w:p>
    <w:p w14:paraId="581BBAB6" w14:textId="0EF378ED" w:rsidR="001C7119" w:rsidRDefault="001C7119" w:rsidP="001C7119">
      <w:pPr>
        <w:pStyle w:val="ListParagraph"/>
        <w:numPr>
          <w:ilvl w:val="0"/>
          <w:numId w:val="1"/>
        </w:numPr>
      </w:pPr>
      <w:r>
        <w:t>Mainstream mid</w:t>
      </w:r>
      <w:r>
        <w:t>-</w:t>
      </w:r>
      <w:r>
        <w:t>age and young singles and couples are more willing to pay more per packet of chips compared</w:t>
      </w:r>
      <w:r>
        <w:t xml:space="preserve"> </w:t>
      </w:r>
      <w:r>
        <w:t>to their budget and premium counterparts. This may be due to premium shoppers being more likely to buy</w:t>
      </w:r>
      <w:r>
        <w:t xml:space="preserve"> </w:t>
      </w:r>
      <w:r>
        <w:t>healthy snacks and when they buy chips, this is mainly for entertainment purposes rather than their own</w:t>
      </w:r>
      <w:r>
        <w:t xml:space="preserve"> </w:t>
      </w:r>
      <w:r>
        <w:t>consumption. This is also supported by there being fewer premium mid</w:t>
      </w:r>
      <w:r>
        <w:t>-</w:t>
      </w:r>
      <w:r>
        <w:t>age and young singles and couples</w:t>
      </w:r>
      <w:r>
        <w:t xml:space="preserve"> </w:t>
      </w:r>
      <w:r>
        <w:t>buying chips compared to their mainstream counterparts.</w:t>
      </w:r>
    </w:p>
    <w:p w14:paraId="7ADB841A" w14:textId="715E11C8" w:rsidR="001C7119" w:rsidRDefault="001C7119" w:rsidP="001C7119">
      <w:pPr>
        <w:pStyle w:val="ListParagraph"/>
        <w:numPr>
          <w:ilvl w:val="0"/>
          <w:numId w:val="1"/>
        </w:numPr>
      </w:pPr>
      <w:r>
        <w:t>Mainstream young singles/couples are 23% more likely to purchase Dorito chips compared</w:t>
      </w:r>
      <w:r>
        <w:t xml:space="preserve"> </w:t>
      </w:r>
      <w:r>
        <w:t>to the rest of the population.</w:t>
      </w:r>
      <w:r>
        <w:t xml:space="preserve"> </w:t>
      </w:r>
    </w:p>
    <w:p w14:paraId="2D72D259" w14:textId="40D44691" w:rsidR="001C7119" w:rsidRDefault="001C7119" w:rsidP="001C7119">
      <w:pPr>
        <w:pStyle w:val="ListParagraph"/>
        <w:numPr>
          <w:ilvl w:val="0"/>
          <w:numId w:val="1"/>
        </w:numPr>
      </w:pPr>
      <w:r>
        <w:t>Mainstream young singles/couples are 56% less likely to purchase Burger Rings compared to the rest of</w:t>
      </w:r>
      <w:r>
        <w:t xml:space="preserve"> </w:t>
      </w:r>
      <w:r>
        <w:t>the population</w:t>
      </w:r>
    </w:p>
    <w:p w14:paraId="2AA411A7" w14:textId="10900A40" w:rsidR="001C7119" w:rsidRDefault="001C7119" w:rsidP="001C7119">
      <w:pPr>
        <w:pStyle w:val="ListParagraph"/>
        <w:numPr>
          <w:ilvl w:val="0"/>
          <w:numId w:val="1"/>
        </w:numPr>
      </w:pPr>
      <w:r>
        <w:t>Mainstream young singles/couples are more likely to purchase a 270g pack of chips compared to the rest of</w:t>
      </w:r>
      <w:r>
        <w:t xml:space="preserve"> </w:t>
      </w:r>
      <w:r>
        <w:t>the population but let’s dive into what brands sell this pack size.</w:t>
      </w:r>
    </w:p>
    <w:p w14:paraId="00E5F87E" w14:textId="42E047F1" w:rsidR="002B0453" w:rsidRDefault="002B0453" w:rsidP="008F16B2">
      <w:pPr>
        <w:pStyle w:val="ListParagraph"/>
        <w:numPr>
          <w:ilvl w:val="0"/>
          <w:numId w:val="1"/>
        </w:numPr>
      </w:pPr>
      <w:r>
        <w:t>the trial had a significant impact on increasing the number of customers in trial store 86 but as we saw,</w:t>
      </w:r>
      <w:r>
        <w:t xml:space="preserve"> </w:t>
      </w:r>
      <w:r>
        <w:t>sales were not significantly higher.</w:t>
      </w:r>
      <w:r w:rsidR="008F16B2" w:rsidRPr="008F16B2">
        <w:t xml:space="preserve"> </w:t>
      </w:r>
      <w:r w:rsidR="008F16B2">
        <w:t>We should check with the Category Manager if there were special deals in</w:t>
      </w:r>
      <w:r w:rsidR="008F16B2">
        <w:t xml:space="preserve"> </w:t>
      </w:r>
      <w:r w:rsidR="008F16B2">
        <w:t>the trial store that were may have resulted in lower prices, impacting the results.</w:t>
      </w:r>
    </w:p>
    <w:p w14:paraId="6CE3726D" w14:textId="01F25F25" w:rsidR="002B0453" w:rsidRDefault="008F16B2" w:rsidP="008F16B2">
      <w:pPr>
        <w:pStyle w:val="ListParagraph"/>
        <w:numPr>
          <w:ilvl w:val="0"/>
          <w:numId w:val="1"/>
        </w:numPr>
      </w:pPr>
      <w:r>
        <w:t>the trial in store 86 is significantly different to its control store in the trial period as</w:t>
      </w:r>
      <w:r>
        <w:t xml:space="preserve"> </w:t>
      </w:r>
      <w:r>
        <w:t>the trial store performance lies outside of the 5% to 95% confidence interval of the control store in two of the</w:t>
      </w:r>
      <w:r>
        <w:t xml:space="preserve"> </w:t>
      </w:r>
      <w:r>
        <w:t>three trial months.</w:t>
      </w:r>
    </w:p>
    <w:p w14:paraId="4A38CE21" w14:textId="10ABE6A0" w:rsidR="008F16B2" w:rsidRDefault="008F16B2" w:rsidP="008F16B2">
      <w:pPr>
        <w:pStyle w:val="ListParagraph"/>
        <w:numPr>
          <w:ilvl w:val="0"/>
          <w:numId w:val="1"/>
        </w:numPr>
      </w:pPr>
      <w:r>
        <w:t>Total number of customers in the trial period for the trial store is significantly higher than the</w:t>
      </w:r>
      <w:r>
        <w:t xml:space="preserve"> </w:t>
      </w:r>
      <w:r>
        <w:t>control store for two out of three months, which indicates a positive trial effect.</w:t>
      </w:r>
    </w:p>
    <w:p w14:paraId="5FD772FE" w14:textId="080FBF19" w:rsidR="008F16B2" w:rsidRDefault="008F16B2" w:rsidP="008F16B2">
      <w:pPr>
        <w:pStyle w:val="ListParagraph"/>
        <w:numPr>
          <w:ilvl w:val="0"/>
          <w:numId w:val="1"/>
        </w:numPr>
      </w:pPr>
      <w:r>
        <w:t>We’ve found control stores 233, 155, 178 for trial stores 77, 86 and 88 respectively. The results</w:t>
      </w:r>
      <w:r>
        <w:t xml:space="preserve"> </w:t>
      </w:r>
      <w:r>
        <w:t>for trial stores 77 and 86 during the trial period show a significant difference in at least two of the three trial</w:t>
      </w:r>
      <w:r>
        <w:t xml:space="preserve"> </w:t>
      </w:r>
      <w:r>
        <w:t>months but this is not the case for trial store 88.</w:t>
      </w:r>
    </w:p>
    <w:p w14:paraId="5F22E1B2" w14:textId="2284C2AA" w:rsidR="008F16B2" w:rsidRDefault="008F16B2" w:rsidP="008F1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F16B2">
        <w:rPr>
          <w:rFonts w:cstheme="minorHAnsi"/>
        </w:rPr>
        <w:t>We can check with the client if the implementation of the</w:t>
      </w:r>
      <w:r w:rsidRPr="008F16B2">
        <w:rPr>
          <w:rFonts w:cstheme="minorHAnsi"/>
        </w:rPr>
        <w:t xml:space="preserve"> </w:t>
      </w:r>
      <w:r w:rsidRPr="008F16B2">
        <w:rPr>
          <w:rFonts w:cstheme="minorHAnsi"/>
        </w:rPr>
        <w:t>trial was different in trial store 88 but overall, the trial shows a significant increase in sales</w:t>
      </w:r>
      <w:r w:rsidRPr="008F16B2">
        <w:rPr>
          <w:rFonts w:cstheme="minorHAnsi"/>
          <w:sz w:val="20"/>
          <w:szCs w:val="20"/>
        </w:rPr>
        <w:t>.</w:t>
      </w:r>
    </w:p>
    <w:p w14:paraId="5A2CA8CE" w14:textId="7E54D7C0" w:rsidR="008F16B2" w:rsidRDefault="008F16B2" w:rsidP="008F1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7E5D6B1" w14:textId="573B285E" w:rsidR="008F16B2" w:rsidRDefault="008F16B2" w:rsidP="008F1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</w:t>
      </w:r>
    </w:p>
    <w:p w14:paraId="138880C2" w14:textId="133C174C" w:rsidR="008F16B2" w:rsidRDefault="008F16B2" w:rsidP="008F1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Regards,</w:t>
      </w:r>
    </w:p>
    <w:p w14:paraId="03566FEB" w14:textId="180A47EB" w:rsidR="008F16B2" w:rsidRPr="008F16B2" w:rsidRDefault="008F16B2" w:rsidP="008F16B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Lavany</w:t>
      </w:r>
    </w:p>
    <w:p w14:paraId="2F4C156E" w14:textId="32AF0BF7" w:rsidR="001C7119" w:rsidRDefault="001C7119" w:rsidP="001C7119"/>
    <w:p w14:paraId="006ACDAA" w14:textId="77777777" w:rsidR="001C7119" w:rsidRDefault="001C7119" w:rsidP="001C7119"/>
    <w:sectPr w:rsidR="001C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74730"/>
    <w:multiLevelType w:val="hybridMultilevel"/>
    <w:tmpl w:val="D130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19"/>
    <w:rsid w:val="001C7119"/>
    <w:rsid w:val="001D467C"/>
    <w:rsid w:val="002B0453"/>
    <w:rsid w:val="008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84D6"/>
  <w15:chartTrackingRefBased/>
  <w15:docId w15:val="{7DEB66B0-B79A-453D-B085-C271EED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 JADHAV</dc:creator>
  <cp:keywords/>
  <dc:description/>
  <cp:lastModifiedBy>LAVANY JADHAV</cp:lastModifiedBy>
  <cp:revision>1</cp:revision>
  <dcterms:created xsi:type="dcterms:W3CDTF">2021-07-11T16:10:00Z</dcterms:created>
  <dcterms:modified xsi:type="dcterms:W3CDTF">2021-07-11T16:59:00Z</dcterms:modified>
</cp:coreProperties>
</file>