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Lab 5: Static Code Analysis</w:t>
      </w:r>
    </w:p>
    <w:p>
      <w:pPr>
        <w:jc w:val="center"/>
      </w:pPr>
      <w:r>
        <w:rPr>
          <w:b/>
          <w:color w:val="000000"/>
          <w:sz w:val="24"/>
        </w:rPr>
        <w:t>Issue Table and Reflection</w:t>
      </w:r>
    </w:p>
    <w:p>
      <w:r>
        <w:rPr>
          <w:b/>
          <w:color w:val="000000"/>
        </w:rPr>
        <w:t xml:space="preserve">Project: </w:t>
      </w:r>
      <w:r>
        <w:rPr>
          <w:color w:val="000000"/>
        </w:rPr>
        <w:t xml:space="preserve">Address Book application     </w:t>
      </w:r>
      <w:r>
        <w:rPr>
          <w:b/>
          <w:color w:val="000000"/>
        </w:rPr>
        <w:t xml:space="preserve">Repository folder: </w:t>
      </w:r>
      <w:r>
        <w:rPr>
          <w:color w:val="000000"/>
        </w:rPr>
        <w:t>SE-PES1UG24CS214/Lab5</w:t>
      </w:r>
    </w:p>
    <w:p>
      <w:r>
        <w:rPr>
          <w:color w:val="000000"/>
        </w:rPr>
        <w:t>This document summarizes the issues identified during static analysis, the fixes applied, and reflections on using Pylint, Bandit, and Flake8. Line numbers refer to the baseline version/report where shown; line numbers may shift after code changes.</w:t>
      </w:r>
    </w:p>
    <w:p>
      <w:pPr>
        <w:pStyle w:val="Heading1"/>
      </w:pPr>
      <w:r>
        <w:rPr>
          <w:color w:val="000000"/>
        </w:rPr>
        <w:t>1. Completed Issue Table</w:t>
      </w:r>
    </w:p>
    <w:tbl>
      <w:tblPr>
        <w:tblStyle w:val="TableGrid"/>
        <w:tblW w:type="auto" w:w="0"/>
        <w:jc w:val="center"/>
        <w:tblLayout w:type="fixed"/>
        <w:tblLook w:firstColumn="1" w:firstRow="1" w:lastColumn="0" w:lastRow="0" w:noHBand="0" w:noVBand="1" w:val="04A0"/>
      </w:tblPr>
      <w:tblGrid>
        <w:gridCol w:w="1944"/>
        <w:gridCol w:w="1440"/>
        <w:gridCol w:w="1152"/>
        <w:gridCol w:w="3312"/>
        <w:gridCol w:w="3240"/>
      </w:tblGrid>
      <w:tr>
        <w:trPr>
          <w:tblHeader w:val="true"/>
        </w:trPr>
        <w:tc>
          <w:tcPr>
            <w:tcW w:type="dxa" w:w="2074"/>
            <w:vAlign w:val="center"/>
          </w:tcPr>
          <w:p>
            <w:r>
              <w:rPr>
                <w:b/>
                <w:color w:val="000000"/>
                <w:sz w:val="16"/>
              </w:rPr>
              <w:t>Issue</w:t>
            </w:r>
          </w:p>
        </w:tc>
        <w:tc>
          <w:tcPr>
            <w:tcW w:type="dxa" w:w="2074"/>
            <w:vAlign w:val="center"/>
          </w:tcPr>
          <w:p>
            <w:r>
              <w:rPr>
                <w:b/>
                <w:color w:val="000000"/>
                <w:sz w:val="16"/>
              </w:rPr>
              <w:t>Type</w:t>
            </w:r>
          </w:p>
        </w:tc>
        <w:tc>
          <w:tcPr>
            <w:tcW w:type="dxa" w:w="2074"/>
            <w:vAlign w:val="center"/>
          </w:tcPr>
          <w:p>
            <w:r>
              <w:rPr>
                <w:b/>
                <w:color w:val="000000"/>
                <w:sz w:val="16"/>
              </w:rPr>
              <w:t>Original line(s)</w:t>
            </w:r>
          </w:p>
        </w:tc>
        <w:tc>
          <w:tcPr>
            <w:tcW w:type="dxa" w:w="2074"/>
            <w:vAlign w:val="center"/>
          </w:tcPr>
          <w:p>
            <w:r>
              <w:rPr>
                <w:b/>
                <w:color w:val="000000"/>
                <w:sz w:val="16"/>
              </w:rPr>
              <w:t>Description</w:t>
            </w:r>
          </w:p>
        </w:tc>
        <w:tc>
          <w:tcPr>
            <w:tcW w:type="dxa" w:w="2074"/>
            <w:vAlign w:val="center"/>
          </w:tcPr>
          <w:p>
            <w:r>
              <w:rPr>
                <w:b/>
                <w:color w:val="000000"/>
                <w:sz w:val="16"/>
              </w:rPr>
              <w:t>Fix approach</w:t>
            </w:r>
          </w:p>
        </w:tc>
      </w:tr>
      <w:tr>
        <w:tc>
          <w:tcPr>
            <w:tcW w:type="dxa" w:w="1944"/>
            <w:vAlign w:val="top"/>
            <w:tcMar>
              <w:top w:w="90" w:type="dxa"/>
              <w:start w:w="90" w:type="dxa"/>
              <w:bottom w:w="90" w:type="dxa"/>
              <w:end w:w="90" w:type="dxa"/>
            </w:tcMar>
          </w:tcPr>
          <w:p>
            <w:pPr>
              <w:spacing w:after="40"/>
            </w:pPr>
            <w:r>
              <w:rPr>
                <w:rFonts w:ascii="Arial" w:hAnsi="Arial"/>
                <w:color w:val="000000"/>
                <w:sz w:val="14"/>
              </w:rPr>
              <w:t>Unsafe deserialization using pickle.load()</w:t>
            </w:r>
          </w:p>
        </w:tc>
        <w:tc>
          <w:tcPr>
            <w:tcW w:type="dxa" w:w="1440"/>
            <w:vAlign w:val="top"/>
            <w:tcMar>
              <w:top w:w="90" w:type="dxa"/>
              <w:start w:w="90" w:type="dxa"/>
              <w:bottom w:w="90" w:type="dxa"/>
              <w:end w:w="90" w:type="dxa"/>
            </w:tcMar>
          </w:tcPr>
          <w:p>
            <w:pPr>
              <w:spacing w:after="40"/>
            </w:pPr>
            <w:r>
              <w:rPr>
                <w:rFonts w:ascii="Arial" w:hAnsi="Arial"/>
                <w:color w:val="000000"/>
                <w:sz w:val="14"/>
              </w:rPr>
              <w:t>Security</w:t>
            </w:r>
          </w:p>
        </w:tc>
        <w:tc>
          <w:tcPr>
            <w:tcW w:type="dxa" w:w="1152"/>
            <w:vAlign w:val="top"/>
            <w:tcMar>
              <w:top w:w="90" w:type="dxa"/>
              <w:start w:w="90" w:type="dxa"/>
              <w:bottom w:w="90" w:type="dxa"/>
              <w:end w:w="90" w:type="dxa"/>
            </w:tcMar>
          </w:tcPr>
          <w:p>
            <w:pPr>
              <w:spacing w:after="40"/>
            </w:pPr>
            <w:r>
              <w:rPr>
                <w:rFonts w:ascii="Arial" w:hAnsi="Arial"/>
                <w:color w:val="000000"/>
                <w:sz w:val="14"/>
              </w:rPr>
              <w:t>67</w:t>
            </w:r>
          </w:p>
        </w:tc>
        <w:tc>
          <w:tcPr>
            <w:tcW w:type="dxa" w:w="3312"/>
            <w:vAlign w:val="top"/>
            <w:tcMar>
              <w:top w:w="90" w:type="dxa"/>
              <w:start w:w="90" w:type="dxa"/>
              <w:bottom w:w="90" w:type="dxa"/>
              <w:end w:w="90" w:type="dxa"/>
            </w:tcMar>
          </w:tcPr>
          <w:p>
            <w:pPr>
              <w:spacing w:after="40"/>
            </w:pPr>
            <w:r>
              <w:rPr>
                <w:rFonts w:ascii="Arial" w:hAnsi="Arial"/>
                <w:color w:val="000000"/>
                <w:sz w:val="14"/>
              </w:rPr>
              <w:t>Bandit B301 flags pickle deserialization because loading untrusted pickle data can execute arbitrary code.</w:t>
            </w:r>
          </w:p>
        </w:tc>
        <w:tc>
          <w:tcPr>
            <w:tcW w:type="dxa" w:w="3240"/>
            <w:vAlign w:val="top"/>
            <w:tcMar>
              <w:top w:w="90" w:type="dxa"/>
              <w:start w:w="90" w:type="dxa"/>
              <w:bottom w:w="90" w:type="dxa"/>
              <w:end w:w="90" w:type="dxa"/>
            </w:tcMar>
          </w:tcPr>
          <w:p>
            <w:pPr>
              <w:spacing w:after="40"/>
            </w:pPr>
            <w:r>
              <w:rPr>
                <w:rFonts w:ascii="Arial" w:hAnsi="Arial"/>
                <w:color w:val="000000"/>
                <w:sz w:val="14"/>
              </w:rPr>
              <w:t>Replaced pickle-based backup/restore with JSON serialization and deserialization, with validation of the restored structure.</w:t>
            </w:r>
          </w:p>
        </w:tc>
      </w:tr>
      <w:tr>
        <w:tc>
          <w:tcPr>
            <w:tcW w:type="dxa" w:w="1944"/>
            <w:vAlign w:val="top"/>
            <w:tcMar>
              <w:top w:w="90" w:type="dxa"/>
              <w:start w:w="90" w:type="dxa"/>
              <w:bottom w:w="90" w:type="dxa"/>
              <w:end w:w="90" w:type="dxa"/>
            </w:tcMar>
          </w:tcPr>
          <w:p>
            <w:pPr>
              <w:spacing w:after="40"/>
            </w:pPr>
            <w:r>
              <w:rPr>
                <w:rFonts w:ascii="Arial" w:hAnsi="Arial"/>
                <w:color w:val="000000"/>
                <w:sz w:val="14"/>
              </w:rPr>
              <w:t>Catching an overly general exception</w:t>
            </w:r>
          </w:p>
        </w:tc>
        <w:tc>
          <w:tcPr>
            <w:tcW w:type="dxa" w:w="1440"/>
            <w:vAlign w:val="top"/>
            <w:tcMar>
              <w:top w:w="90" w:type="dxa"/>
              <w:start w:w="90" w:type="dxa"/>
              <w:bottom w:w="90" w:type="dxa"/>
              <w:end w:w="90" w:type="dxa"/>
            </w:tcMar>
          </w:tcPr>
          <w:p>
            <w:pPr>
              <w:spacing w:after="40"/>
            </w:pPr>
            <w:r>
              <w:rPr>
                <w:rFonts w:ascii="Arial" w:hAnsi="Arial"/>
                <w:color w:val="000000"/>
                <w:sz w:val="14"/>
              </w:rPr>
              <w:t>Code quality / reliability</w:t>
            </w:r>
          </w:p>
        </w:tc>
        <w:tc>
          <w:tcPr>
            <w:tcW w:type="dxa" w:w="1152"/>
            <w:vAlign w:val="top"/>
            <w:tcMar>
              <w:top w:w="90" w:type="dxa"/>
              <w:start w:w="90" w:type="dxa"/>
              <w:bottom w:w="90" w:type="dxa"/>
              <w:end w:w="90" w:type="dxa"/>
            </w:tcMar>
          </w:tcPr>
          <w:p>
            <w:pPr>
              <w:spacing w:after="40"/>
            </w:pPr>
            <w:r>
              <w:rPr>
                <w:rFonts w:ascii="Arial" w:hAnsi="Arial"/>
                <w:color w:val="000000"/>
                <w:sz w:val="14"/>
              </w:rPr>
              <w:t>34</w:t>
            </w:r>
          </w:p>
        </w:tc>
        <w:tc>
          <w:tcPr>
            <w:tcW w:type="dxa" w:w="3312"/>
            <w:vAlign w:val="top"/>
            <w:tcMar>
              <w:top w:w="90" w:type="dxa"/>
              <w:start w:w="90" w:type="dxa"/>
              <w:bottom w:w="90" w:type="dxa"/>
              <w:end w:w="90" w:type="dxa"/>
            </w:tcMar>
          </w:tcPr>
          <w:p>
            <w:pPr>
              <w:spacing w:after="40"/>
            </w:pPr>
            <w:r>
              <w:rPr>
                <w:rFonts w:ascii="Arial" w:hAnsi="Arial"/>
                <w:color w:val="000000"/>
                <w:sz w:val="14"/>
              </w:rPr>
              <w:t>Pylint W0718 flags broad exception handling, which can hide unexpected errors.</w:t>
            </w:r>
          </w:p>
        </w:tc>
        <w:tc>
          <w:tcPr>
            <w:tcW w:type="dxa" w:w="3240"/>
            <w:vAlign w:val="top"/>
            <w:tcMar>
              <w:top w:w="90" w:type="dxa"/>
              <w:start w:w="90" w:type="dxa"/>
              <w:bottom w:w="90" w:type="dxa"/>
              <w:end w:w="90" w:type="dxa"/>
            </w:tcMar>
          </w:tcPr>
          <w:p>
            <w:pPr>
              <w:spacing w:after="40"/>
            </w:pPr>
            <w:r>
              <w:rPr>
                <w:rFonts w:ascii="Arial" w:hAnsi="Arial"/>
                <w:color w:val="000000"/>
                <w:sz w:val="14"/>
              </w:rPr>
              <w:t>Checked whether a contact exists before updating its city, avoiding a broad catch for this expected case.</w:t>
            </w:r>
          </w:p>
        </w:tc>
      </w:tr>
      <w:tr>
        <w:tc>
          <w:tcPr>
            <w:tcW w:type="dxa" w:w="1944"/>
            <w:vAlign w:val="top"/>
            <w:tcMar>
              <w:top w:w="90" w:type="dxa"/>
              <w:start w:w="90" w:type="dxa"/>
              <w:bottom w:w="90" w:type="dxa"/>
              <w:end w:w="90" w:type="dxa"/>
            </w:tcMar>
          </w:tcPr>
          <w:p>
            <w:pPr>
              <w:spacing w:after="40"/>
            </w:pPr>
            <w:r>
              <w:rPr>
                <w:rFonts w:ascii="Arial" w:hAnsi="Arial"/>
                <w:color w:val="000000"/>
                <w:sz w:val="14"/>
              </w:rPr>
              <w:t>Missing function docstrings</w:t>
            </w:r>
          </w:p>
        </w:tc>
        <w:tc>
          <w:tcPr>
            <w:tcW w:type="dxa" w:w="1440"/>
            <w:vAlign w:val="top"/>
            <w:tcMar>
              <w:top w:w="90" w:type="dxa"/>
              <w:start w:w="90" w:type="dxa"/>
              <w:bottom w:w="90" w:type="dxa"/>
              <w:end w:w="90" w:type="dxa"/>
            </w:tcMar>
          </w:tcPr>
          <w:p>
            <w:pPr>
              <w:spacing w:after="40"/>
            </w:pPr>
            <w:r>
              <w:rPr>
                <w:rFonts w:ascii="Arial" w:hAnsi="Arial"/>
                <w:color w:val="000000"/>
                <w:sz w:val="14"/>
              </w:rPr>
              <w:t>Code quality / documentation</w:t>
            </w:r>
          </w:p>
        </w:tc>
        <w:tc>
          <w:tcPr>
            <w:tcW w:type="dxa" w:w="1152"/>
            <w:vAlign w:val="top"/>
            <w:tcMar>
              <w:top w:w="90" w:type="dxa"/>
              <w:start w:w="90" w:type="dxa"/>
              <w:bottom w:w="90" w:type="dxa"/>
              <w:end w:w="90" w:type="dxa"/>
            </w:tcMar>
          </w:tcPr>
          <w:p>
            <w:pPr>
              <w:spacing w:after="40"/>
            </w:pPr>
            <w:r>
              <w:rPr>
                <w:rFonts w:ascii="Arial" w:hAnsi="Arial"/>
                <w:color w:val="000000"/>
                <w:sz w:val="14"/>
              </w:rPr>
              <w:t>39, 47, 53, 60, 65, 70</w:t>
            </w:r>
          </w:p>
        </w:tc>
        <w:tc>
          <w:tcPr>
            <w:tcW w:type="dxa" w:w="3312"/>
            <w:vAlign w:val="top"/>
            <w:tcMar>
              <w:top w:w="90" w:type="dxa"/>
              <w:start w:w="90" w:type="dxa"/>
              <w:bottom w:w="90" w:type="dxa"/>
              <w:end w:w="90" w:type="dxa"/>
            </w:tcMar>
          </w:tcPr>
          <w:p>
            <w:pPr>
              <w:spacing w:after="40"/>
            </w:pPr>
            <w:r>
              <w:rPr>
                <w:rFonts w:ascii="Arial" w:hAnsi="Arial"/>
                <w:color w:val="000000"/>
                <w:sz w:val="14"/>
              </w:rPr>
              <w:t>Pylint C0116 reports functions that do not explain their purpose.</w:t>
            </w:r>
          </w:p>
        </w:tc>
        <w:tc>
          <w:tcPr>
            <w:tcW w:type="dxa" w:w="3240"/>
            <w:vAlign w:val="top"/>
            <w:tcMar>
              <w:top w:w="90" w:type="dxa"/>
              <w:start w:w="90" w:type="dxa"/>
              <w:bottom w:w="90" w:type="dxa"/>
              <w:end w:w="90" w:type="dxa"/>
            </w:tcMar>
          </w:tcPr>
          <w:p>
            <w:pPr>
              <w:spacing w:after="40"/>
            </w:pPr>
            <w:r>
              <w:rPr>
                <w:rFonts w:ascii="Arial" w:hAnsi="Arial"/>
                <w:color w:val="000000"/>
                <w:sz w:val="14"/>
              </w:rPr>
              <w:t>Added concise docstrings describing the functions' behavior.</w:t>
            </w:r>
          </w:p>
        </w:tc>
      </w:tr>
      <w:tr>
        <w:tc>
          <w:tcPr>
            <w:tcW w:type="dxa" w:w="1944"/>
            <w:vAlign w:val="top"/>
            <w:tcMar>
              <w:top w:w="90" w:type="dxa"/>
              <w:start w:w="90" w:type="dxa"/>
              <w:bottom w:w="90" w:type="dxa"/>
              <w:end w:w="90" w:type="dxa"/>
            </w:tcMar>
          </w:tcPr>
          <w:p>
            <w:pPr>
              <w:spacing w:after="40"/>
            </w:pPr>
            <w:r>
              <w:rPr>
                <w:rFonts w:ascii="Arial" w:hAnsi="Arial"/>
                <w:color w:val="000000"/>
                <w:sz w:val="14"/>
              </w:rPr>
              <w:t>CamelCase function names</w:t>
            </w:r>
          </w:p>
        </w:tc>
        <w:tc>
          <w:tcPr>
            <w:tcW w:type="dxa" w:w="1440"/>
            <w:vAlign w:val="top"/>
            <w:tcMar>
              <w:top w:w="90" w:type="dxa"/>
              <w:start w:w="90" w:type="dxa"/>
              <w:bottom w:w="90" w:type="dxa"/>
              <w:end w:w="90" w:type="dxa"/>
            </w:tcMar>
          </w:tcPr>
          <w:p>
            <w:pPr>
              <w:spacing w:after="40"/>
            </w:pPr>
            <w:r>
              <w:rPr>
                <w:rFonts w:ascii="Arial" w:hAnsi="Arial"/>
                <w:color w:val="000000"/>
                <w:sz w:val="14"/>
              </w:rPr>
              <w:t>Naming / style</w:t>
            </w:r>
          </w:p>
        </w:tc>
        <w:tc>
          <w:tcPr>
            <w:tcW w:type="dxa" w:w="1152"/>
            <w:vAlign w:val="top"/>
            <w:tcMar>
              <w:top w:w="90" w:type="dxa"/>
              <w:start w:w="90" w:type="dxa"/>
              <w:bottom w:w="90" w:type="dxa"/>
              <w:end w:w="90" w:type="dxa"/>
            </w:tcMar>
          </w:tcPr>
          <w:p>
            <w:pPr>
              <w:spacing w:after="40"/>
            </w:pPr>
            <w:r>
              <w:rPr>
                <w:rFonts w:ascii="Arial" w:hAnsi="Arial"/>
                <w:color w:val="000000"/>
                <w:sz w:val="14"/>
              </w:rPr>
              <w:t>39, 47, 53, 60, 65</w:t>
            </w:r>
          </w:p>
        </w:tc>
        <w:tc>
          <w:tcPr>
            <w:tcW w:type="dxa" w:w="3312"/>
            <w:vAlign w:val="top"/>
            <w:tcMar>
              <w:top w:w="90" w:type="dxa"/>
              <w:start w:w="90" w:type="dxa"/>
              <w:bottom w:w="90" w:type="dxa"/>
              <w:end w:w="90" w:type="dxa"/>
            </w:tcMar>
          </w:tcPr>
          <w:p>
            <w:pPr>
              <w:spacing w:after="40"/>
            </w:pPr>
            <w:r>
              <w:rPr>
                <w:rFonts w:ascii="Arial" w:hAnsi="Arial"/>
                <w:color w:val="000000"/>
                <w:sz w:val="14"/>
              </w:rPr>
              <w:t>Pylint C0103 flags names such as contactsByCity and exportCsv for not following snake_case.</w:t>
            </w:r>
          </w:p>
        </w:tc>
        <w:tc>
          <w:tcPr>
            <w:tcW w:type="dxa" w:w="3240"/>
            <w:vAlign w:val="top"/>
            <w:tcMar>
              <w:top w:w="90" w:type="dxa"/>
              <w:start w:w="90" w:type="dxa"/>
              <w:bottom w:w="90" w:type="dxa"/>
              <w:end w:w="90" w:type="dxa"/>
            </w:tcMar>
          </w:tcPr>
          <w:p>
            <w:pPr>
              <w:spacing w:after="40"/>
            </w:pPr>
            <w:r>
              <w:rPr>
                <w:rFonts w:ascii="Arial" w:hAnsi="Arial"/>
                <w:color w:val="000000"/>
                <w:sz w:val="14"/>
              </w:rPr>
              <w:t>Renamed functions to snake_case, for example contacts_by_city and export_csv.</w:t>
            </w:r>
          </w:p>
        </w:tc>
      </w:tr>
      <w:tr>
        <w:tc>
          <w:tcPr>
            <w:tcW w:type="dxa" w:w="1944"/>
            <w:vAlign w:val="top"/>
            <w:tcMar>
              <w:top w:w="90" w:type="dxa"/>
              <w:start w:w="90" w:type="dxa"/>
              <w:bottom w:w="90" w:type="dxa"/>
              <w:end w:w="90" w:type="dxa"/>
            </w:tcMar>
          </w:tcPr>
          <w:p>
            <w:pPr>
              <w:spacing w:after="40"/>
            </w:pPr>
            <w:r>
              <w:rPr>
                <w:rFonts w:ascii="Arial" w:hAnsi="Arial"/>
                <w:color w:val="000000"/>
                <w:sz w:val="14"/>
              </w:rPr>
              <w:t>CamelCase parameter names</w:t>
            </w:r>
          </w:p>
        </w:tc>
        <w:tc>
          <w:tcPr>
            <w:tcW w:type="dxa" w:w="1440"/>
            <w:vAlign w:val="top"/>
            <w:tcMar>
              <w:top w:w="90" w:type="dxa"/>
              <w:start w:w="90" w:type="dxa"/>
              <w:bottom w:w="90" w:type="dxa"/>
              <w:end w:w="90" w:type="dxa"/>
            </w:tcMar>
          </w:tcPr>
          <w:p>
            <w:pPr>
              <w:spacing w:after="40"/>
            </w:pPr>
            <w:r>
              <w:rPr>
                <w:rFonts w:ascii="Arial" w:hAnsi="Arial"/>
                <w:color w:val="000000"/>
                <w:sz w:val="14"/>
              </w:rPr>
              <w:t>Naming / style</w:t>
            </w:r>
          </w:p>
        </w:tc>
        <w:tc>
          <w:tcPr>
            <w:tcW w:type="dxa" w:w="1152"/>
            <w:vAlign w:val="top"/>
            <w:tcMar>
              <w:top w:w="90" w:type="dxa"/>
              <w:start w:w="90" w:type="dxa"/>
              <w:bottom w:w="90" w:type="dxa"/>
              <w:end w:w="90" w:type="dxa"/>
            </w:tcMar>
          </w:tcPr>
          <w:p>
            <w:pPr>
              <w:spacing w:after="40"/>
            </w:pPr>
            <w:r>
              <w:rPr>
                <w:rFonts w:ascii="Arial" w:hAnsi="Arial"/>
                <w:color w:val="000000"/>
                <w:sz w:val="14"/>
              </w:rPr>
              <w:t>53, 60, 65</w:t>
            </w:r>
          </w:p>
        </w:tc>
        <w:tc>
          <w:tcPr>
            <w:tcW w:type="dxa" w:w="3312"/>
            <w:vAlign w:val="top"/>
            <w:tcMar>
              <w:top w:w="90" w:type="dxa"/>
              <w:start w:w="90" w:type="dxa"/>
              <w:bottom w:w="90" w:type="dxa"/>
              <w:end w:w="90" w:type="dxa"/>
            </w:tcMar>
          </w:tcPr>
          <w:p>
            <w:pPr>
              <w:spacing w:after="40"/>
            </w:pPr>
            <w:r>
              <w:rPr>
                <w:rFonts w:ascii="Arial" w:hAnsi="Arial"/>
                <w:color w:val="000000"/>
                <w:sz w:val="14"/>
              </w:rPr>
              <w:t>Pylint C0103 flags fileName as an invalid naming style.</w:t>
            </w:r>
          </w:p>
        </w:tc>
        <w:tc>
          <w:tcPr>
            <w:tcW w:type="dxa" w:w="3240"/>
            <w:vAlign w:val="top"/>
            <w:tcMar>
              <w:top w:w="90" w:type="dxa"/>
              <w:start w:w="90" w:type="dxa"/>
              <w:bottom w:w="90" w:type="dxa"/>
              <w:end w:w="90" w:type="dxa"/>
            </w:tcMar>
          </w:tcPr>
          <w:p>
            <w:pPr>
              <w:spacing w:after="40"/>
            </w:pPr>
            <w:r>
              <w:rPr>
                <w:rFonts w:ascii="Arial" w:hAnsi="Arial"/>
                <w:color w:val="000000"/>
                <w:sz w:val="14"/>
              </w:rPr>
              <w:t>Renamed the parameter to file_name.</w:t>
            </w:r>
          </w:p>
        </w:tc>
      </w:tr>
      <w:tr>
        <w:tc>
          <w:tcPr>
            <w:tcW w:type="dxa" w:w="1944"/>
            <w:vAlign w:val="top"/>
            <w:tcMar>
              <w:top w:w="90" w:type="dxa"/>
              <w:start w:w="90" w:type="dxa"/>
              <w:bottom w:w="90" w:type="dxa"/>
              <w:end w:w="90" w:type="dxa"/>
            </w:tcMar>
          </w:tcPr>
          <w:p>
            <w:pPr>
              <w:spacing w:after="40"/>
            </w:pPr>
            <w:r>
              <w:rPr>
                <w:rFonts w:ascii="Arial" w:hAnsi="Arial"/>
                <w:color w:val="000000"/>
                <w:sz w:val="14"/>
              </w:rPr>
              <w:t>File opened without an explicit encoding</w:t>
            </w:r>
          </w:p>
        </w:tc>
        <w:tc>
          <w:tcPr>
            <w:tcW w:type="dxa" w:w="1440"/>
            <w:vAlign w:val="top"/>
            <w:tcMar>
              <w:top w:w="90" w:type="dxa"/>
              <w:start w:w="90" w:type="dxa"/>
              <w:bottom w:w="90" w:type="dxa"/>
              <w:end w:w="90" w:type="dxa"/>
            </w:tcMar>
          </w:tcPr>
          <w:p>
            <w:pPr>
              <w:spacing w:after="40"/>
            </w:pPr>
            <w:r>
              <w:rPr>
                <w:rFonts w:ascii="Arial" w:hAnsi="Arial"/>
                <w:color w:val="000000"/>
                <w:sz w:val="14"/>
              </w:rPr>
              <w:t>Code quality / portability</w:t>
            </w:r>
          </w:p>
        </w:tc>
        <w:tc>
          <w:tcPr>
            <w:tcW w:type="dxa" w:w="1152"/>
            <w:vAlign w:val="top"/>
            <w:tcMar>
              <w:top w:w="90" w:type="dxa"/>
              <w:start w:w="90" w:type="dxa"/>
              <w:bottom w:w="90" w:type="dxa"/>
              <w:end w:w="90" w:type="dxa"/>
            </w:tcMar>
          </w:tcPr>
          <w:p>
            <w:pPr>
              <w:spacing w:after="40"/>
            </w:pPr>
            <w:r>
              <w:rPr>
                <w:rFonts w:ascii="Arial" w:hAnsi="Arial"/>
                <w:color w:val="000000"/>
                <w:sz w:val="14"/>
              </w:rPr>
              <w:t>54</w:t>
            </w:r>
          </w:p>
        </w:tc>
        <w:tc>
          <w:tcPr>
            <w:tcW w:type="dxa" w:w="3312"/>
            <w:vAlign w:val="top"/>
            <w:tcMar>
              <w:top w:w="90" w:type="dxa"/>
              <w:start w:w="90" w:type="dxa"/>
              <w:bottom w:w="90" w:type="dxa"/>
              <w:end w:w="90" w:type="dxa"/>
            </w:tcMar>
          </w:tcPr>
          <w:p>
            <w:pPr>
              <w:spacing w:after="40"/>
            </w:pPr>
            <w:r>
              <w:rPr>
                <w:rFonts w:ascii="Arial" w:hAnsi="Arial"/>
                <w:color w:val="000000"/>
                <w:sz w:val="14"/>
              </w:rPr>
              <w:t>Pylint W1514 warns when text files are opened without an explicit encoding.</w:t>
            </w:r>
          </w:p>
        </w:tc>
        <w:tc>
          <w:tcPr>
            <w:tcW w:type="dxa" w:w="3240"/>
            <w:vAlign w:val="top"/>
            <w:tcMar>
              <w:top w:w="90" w:type="dxa"/>
              <w:start w:w="90" w:type="dxa"/>
              <w:bottom w:w="90" w:type="dxa"/>
              <w:end w:w="90" w:type="dxa"/>
            </w:tcMar>
          </w:tcPr>
          <w:p>
            <w:pPr>
              <w:spacing w:after="40"/>
            </w:pPr>
            <w:r>
              <w:rPr>
                <w:rFonts w:ascii="Arial" w:hAnsi="Arial"/>
                <w:color w:val="000000"/>
                <w:sz w:val="14"/>
              </w:rPr>
              <w:t>Specified encoding="utf-8" for text-file operations.</w:t>
            </w:r>
          </w:p>
        </w:tc>
      </w:tr>
      <w:tr>
        <w:tc>
          <w:tcPr>
            <w:tcW w:type="dxa" w:w="1944"/>
            <w:vAlign w:val="top"/>
            <w:tcMar>
              <w:top w:w="90" w:type="dxa"/>
              <w:start w:w="90" w:type="dxa"/>
              <w:bottom w:w="90" w:type="dxa"/>
              <w:end w:w="90" w:type="dxa"/>
            </w:tcMar>
          </w:tcPr>
          <w:p>
            <w:pPr>
              <w:spacing w:after="40"/>
            </w:pPr>
            <w:r>
              <w:rPr>
                <w:rFonts w:ascii="Arial" w:hAnsi="Arial"/>
                <w:color w:val="000000"/>
                <w:sz w:val="14"/>
              </w:rPr>
              <w:t>Index-based iteration using range and len</w:t>
            </w:r>
          </w:p>
        </w:tc>
        <w:tc>
          <w:tcPr>
            <w:tcW w:type="dxa" w:w="1440"/>
            <w:vAlign w:val="top"/>
            <w:tcMar>
              <w:top w:w="90" w:type="dxa"/>
              <w:start w:w="90" w:type="dxa"/>
              <w:bottom w:w="90" w:type="dxa"/>
              <w:end w:w="90" w:type="dxa"/>
            </w:tcMar>
          </w:tcPr>
          <w:p>
            <w:pPr>
              <w:spacing w:after="40"/>
            </w:pPr>
            <w:r>
              <w:rPr>
                <w:rFonts w:ascii="Arial" w:hAnsi="Arial"/>
                <w:color w:val="000000"/>
                <w:sz w:val="14"/>
              </w:rPr>
              <w:t>Code quality / style</w:t>
            </w:r>
          </w:p>
        </w:tc>
        <w:tc>
          <w:tcPr>
            <w:tcW w:type="dxa" w:w="1152"/>
            <w:vAlign w:val="top"/>
            <w:tcMar>
              <w:top w:w="90" w:type="dxa"/>
              <w:start w:w="90" w:type="dxa"/>
              <w:bottom w:w="90" w:type="dxa"/>
              <w:end w:w="90" w:type="dxa"/>
            </w:tcMar>
          </w:tcPr>
          <w:p>
            <w:pPr>
              <w:spacing w:after="40"/>
            </w:pPr>
            <w:r>
              <w:rPr>
                <w:rFonts w:ascii="Arial" w:hAnsi="Arial"/>
                <w:color w:val="000000"/>
                <w:sz w:val="14"/>
              </w:rPr>
              <w:t>49</w:t>
            </w:r>
          </w:p>
        </w:tc>
        <w:tc>
          <w:tcPr>
            <w:tcW w:type="dxa" w:w="3312"/>
            <w:vAlign w:val="top"/>
            <w:tcMar>
              <w:top w:w="90" w:type="dxa"/>
              <w:start w:w="90" w:type="dxa"/>
              <w:bottom w:w="90" w:type="dxa"/>
              <w:end w:w="90" w:type="dxa"/>
            </w:tcMar>
          </w:tcPr>
          <w:p>
            <w:pPr>
              <w:spacing w:after="40"/>
            </w:pPr>
            <w:r>
              <w:rPr>
                <w:rFonts w:ascii="Arial" w:hAnsi="Arial"/>
                <w:color w:val="000000"/>
                <w:sz w:val="14"/>
              </w:rPr>
              <w:t>Pylint C0200 recommends enumerate() when both an index and sequence items are needed.</w:t>
            </w:r>
          </w:p>
        </w:tc>
        <w:tc>
          <w:tcPr>
            <w:tcW w:type="dxa" w:w="3240"/>
            <w:vAlign w:val="top"/>
            <w:tcMar>
              <w:top w:w="90" w:type="dxa"/>
              <w:start w:w="90" w:type="dxa"/>
              <w:bottom w:w="90" w:type="dxa"/>
              <w:end w:w="90" w:type="dxa"/>
            </w:tcMar>
          </w:tcPr>
          <w:p>
            <w:pPr>
              <w:spacing w:after="40"/>
            </w:pPr>
            <w:r>
              <w:rPr>
                <w:rFonts w:ascii="Arial" w:hAnsi="Arial"/>
                <w:color w:val="000000"/>
                <w:sz w:val="14"/>
              </w:rPr>
              <w:t>Used enumerate(names, start=1) to print numbered contacts.</w:t>
            </w:r>
          </w:p>
        </w:tc>
      </w:tr>
      <w:tr>
        <w:tc>
          <w:tcPr>
            <w:tcW w:type="dxa" w:w="1944"/>
            <w:vAlign w:val="top"/>
            <w:tcMar>
              <w:top w:w="90" w:type="dxa"/>
              <w:start w:w="90" w:type="dxa"/>
              <w:bottom w:w="90" w:type="dxa"/>
              <w:end w:w="90" w:type="dxa"/>
            </w:tcMar>
          </w:tcPr>
          <w:p>
            <w:pPr>
              <w:spacing w:after="40"/>
            </w:pPr>
            <w:r>
              <w:rPr>
                <w:rFonts w:ascii="Arial" w:hAnsi="Arial"/>
                <w:color w:val="000000"/>
                <w:sz w:val="14"/>
              </w:rPr>
              <w:t>Missing whitespace around an operator</w:t>
            </w:r>
          </w:p>
        </w:tc>
        <w:tc>
          <w:tcPr>
            <w:tcW w:type="dxa" w:w="1440"/>
            <w:vAlign w:val="top"/>
            <w:tcMar>
              <w:top w:w="90" w:type="dxa"/>
              <w:start w:w="90" w:type="dxa"/>
              <w:bottom w:w="90" w:type="dxa"/>
              <w:end w:w="90" w:type="dxa"/>
            </w:tcMar>
          </w:tcPr>
          <w:p>
            <w:pPr>
              <w:spacing w:after="40"/>
            </w:pPr>
            <w:r>
              <w:rPr>
                <w:rFonts w:ascii="Arial" w:hAnsi="Arial"/>
                <w:color w:val="000000"/>
                <w:sz w:val="14"/>
              </w:rPr>
              <w:t>Formatting</w:t>
            </w:r>
          </w:p>
        </w:tc>
        <w:tc>
          <w:tcPr>
            <w:tcW w:type="dxa" w:w="1152"/>
            <w:vAlign w:val="top"/>
            <w:tcMar>
              <w:top w:w="90" w:type="dxa"/>
              <w:start w:w="90" w:type="dxa"/>
              <w:bottom w:w="90" w:type="dxa"/>
              <w:end w:w="90" w:type="dxa"/>
            </w:tcMar>
          </w:tcPr>
          <w:p>
            <w:pPr>
              <w:spacing w:after="40"/>
            </w:pPr>
            <w:r>
              <w:rPr>
                <w:rFonts w:ascii="Arial" w:hAnsi="Arial"/>
                <w:color w:val="000000"/>
                <w:sz w:val="14"/>
              </w:rPr>
              <w:t>23</w:t>
            </w:r>
          </w:p>
        </w:tc>
        <w:tc>
          <w:tcPr>
            <w:tcW w:type="dxa" w:w="3312"/>
            <w:vAlign w:val="top"/>
            <w:tcMar>
              <w:top w:w="90" w:type="dxa"/>
              <w:start w:w="90" w:type="dxa"/>
              <w:bottom w:w="90" w:type="dxa"/>
              <w:end w:w="90" w:type="dxa"/>
            </w:tcMar>
          </w:tcPr>
          <w:p>
            <w:pPr>
              <w:spacing w:after="40"/>
            </w:pPr>
            <w:r>
              <w:rPr>
                <w:rFonts w:ascii="Arial" w:hAnsi="Arial"/>
                <w:color w:val="000000"/>
                <w:sz w:val="14"/>
              </w:rPr>
              <w:t>Flake8 E225 identifies missing whitespace around an operator.</w:t>
            </w:r>
          </w:p>
        </w:tc>
        <w:tc>
          <w:tcPr>
            <w:tcW w:type="dxa" w:w="3240"/>
            <w:vAlign w:val="top"/>
            <w:tcMar>
              <w:top w:w="90" w:type="dxa"/>
              <w:start w:w="90" w:type="dxa"/>
              <w:bottom w:w="90" w:type="dxa"/>
              <w:end w:w="90" w:type="dxa"/>
            </w:tcMar>
          </w:tcPr>
          <w:p>
            <w:pPr>
              <w:spacing w:after="40"/>
            </w:pPr>
            <w:r>
              <w:rPr>
                <w:rFonts w:ascii="Arial" w:hAnsi="Arial"/>
                <w:color w:val="000000"/>
                <w:sz w:val="14"/>
              </w:rPr>
              <w:t>Added the required spaces around the operator.</w:t>
            </w:r>
          </w:p>
        </w:tc>
      </w:tr>
      <w:tr>
        <w:tc>
          <w:tcPr>
            <w:tcW w:type="dxa" w:w="1944"/>
            <w:vAlign w:val="top"/>
            <w:tcMar>
              <w:top w:w="90" w:type="dxa"/>
              <w:start w:w="90" w:type="dxa"/>
              <w:bottom w:w="90" w:type="dxa"/>
              <w:end w:w="90" w:type="dxa"/>
            </w:tcMar>
          </w:tcPr>
          <w:p>
            <w:pPr>
              <w:spacing w:after="40"/>
            </w:pPr>
            <w:r>
              <w:rPr>
                <w:rFonts w:ascii="Arial" w:hAnsi="Arial"/>
                <w:color w:val="000000"/>
                <w:sz w:val="14"/>
              </w:rPr>
              <w:t>Too many blank lines</w:t>
            </w:r>
          </w:p>
        </w:tc>
        <w:tc>
          <w:tcPr>
            <w:tcW w:type="dxa" w:w="1440"/>
            <w:vAlign w:val="top"/>
            <w:tcMar>
              <w:top w:w="90" w:type="dxa"/>
              <w:start w:w="90" w:type="dxa"/>
              <w:bottom w:w="90" w:type="dxa"/>
              <w:end w:w="90" w:type="dxa"/>
            </w:tcMar>
          </w:tcPr>
          <w:p>
            <w:pPr>
              <w:spacing w:after="40"/>
            </w:pPr>
            <w:r>
              <w:rPr>
                <w:rFonts w:ascii="Arial" w:hAnsi="Arial"/>
                <w:color w:val="000000"/>
                <w:sz w:val="14"/>
              </w:rPr>
              <w:t>Formatting</w:t>
            </w:r>
          </w:p>
        </w:tc>
        <w:tc>
          <w:tcPr>
            <w:tcW w:type="dxa" w:w="1152"/>
            <w:vAlign w:val="top"/>
            <w:tcMar>
              <w:top w:w="90" w:type="dxa"/>
              <w:start w:w="90" w:type="dxa"/>
              <w:bottom w:w="90" w:type="dxa"/>
              <w:end w:w="90" w:type="dxa"/>
            </w:tcMar>
          </w:tcPr>
          <w:p>
            <w:pPr>
              <w:spacing w:after="40"/>
            </w:pPr>
            <w:r>
              <w:rPr>
                <w:rFonts w:ascii="Arial" w:hAnsi="Arial"/>
                <w:color w:val="000000"/>
                <w:sz w:val="14"/>
              </w:rPr>
              <w:t>47</w:t>
            </w:r>
          </w:p>
        </w:tc>
        <w:tc>
          <w:tcPr>
            <w:tcW w:type="dxa" w:w="3312"/>
            <w:vAlign w:val="top"/>
            <w:tcMar>
              <w:top w:w="90" w:type="dxa"/>
              <w:start w:w="90" w:type="dxa"/>
              <w:bottom w:w="90" w:type="dxa"/>
              <w:end w:w="90" w:type="dxa"/>
            </w:tcMar>
          </w:tcPr>
          <w:p>
            <w:pPr>
              <w:spacing w:after="40"/>
            </w:pPr>
            <w:r>
              <w:rPr>
                <w:rFonts w:ascii="Arial" w:hAnsi="Arial"/>
                <w:color w:val="000000"/>
                <w:sz w:val="14"/>
              </w:rPr>
              <w:t>Flake8 E303 reports excessive blank lines between definitions.</w:t>
            </w:r>
          </w:p>
        </w:tc>
        <w:tc>
          <w:tcPr>
            <w:tcW w:type="dxa" w:w="3240"/>
            <w:vAlign w:val="top"/>
            <w:tcMar>
              <w:top w:w="90" w:type="dxa"/>
              <w:start w:w="90" w:type="dxa"/>
              <w:bottom w:w="90" w:type="dxa"/>
              <w:end w:w="90" w:type="dxa"/>
            </w:tcMar>
          </w:tcPr>
          <w:p>
            <w:pPr>
              <w:spacing w:after="40"/>
            </w:pPr>
            <w:r>
              <w:rPr>
                <w:rFonts w:ascii="Arial" w:hAnsi="Arial"/>
                <w:color w:val="000000"/>
                <w:sz w:val="14"/>
              </w:rPr>
              <w:t>Removed the extra blank lines.</w:t>
            </w:r>
          </w:p>
        </w:tc>
      </w:tr>
      <w:tr>
        <w:tc>
          <w:tcPr>
            <w:tcW w:type="dxa" w:w="1944"/>
            <w:vAlign w:val="top"/>
            <w:tcMar>
              <w:top w:w="90" w:type="dxa"/>
              <w:start w:w="90" w:type="dxa"/>
              <w:bottom w:w="90" w:type="dxa"/>
              <w:end w:w="90" w:type="dxa"/>
            </w:tcMar>
          </w:tcPr>
          <w:p>
            <w:pPr>
              <w:spacing w:after="40"/>
            </w:pPr>
            <w:r>
              <w:rPr>
                <w:rFonts w:ascii="Arial" w:hAnsi="Arial"/>
                <w:color w:val="000000"/>
                <w:sz w:val="14"/>
              </w:rPr>
              <w:t>Missing whitespace after a comma</w:t>
            </w:r>
          </w:p>
        </w:tc>
        <w:tc>
          <w:tcPr>
            <w:tcW w:type="dxa" w:w="1440"/>
            <w:vAlign w:val="top"/>
            <w:tcMar>
              <w:top w:w="90" w:type="dxa"/>
              <w:start w:w="90" w:type="dxa"/>
              <w:bottom w:w="90" w:type="dxa"/>
              <w:end w:w="90" w:type="dxa"/>
            </w:tcMar>
          </w:tcPr>
          <w:p>
            <w:pPr>
              <w:spacing w:after="40"/>
            </w:pPr>
            <w:r>
              <w:rPr>
                <w:rFonts w:ascii="Arial" w:hAnsi="Arial"/>
                <w:color w:val="000000"/>
                <w:sz w:val="14"/>
              </w:rPr>
              <w:t>Formatting</w:t>
            </w:r>
          </w:p>
        </w:tc>
        <w:tc>
          <w:tcPr>
            <w:tcW w:type="dxa" w:w="1152"/>
            <w:vAlign w:val="top"/>
            <w:tcMar>
              <w:top w:w="90" w:type="dxa"/>
              <w:start w:w="90" w:type="dxa"/>
              <w:bottom w:w="90" w:type="dxa"/>
              <w:end w:w="90" w:type="dxa"/>
            </w:tcMar>
          </w:tcPr>
          <w:p>
            <w:pPr>
              <w:spacing w:after="40"/>
            </w:pPr>
            <w:r>
              <w:rPr>
                <w:rFonts w:ascii="Arial" w:hAnsi="Arial"/>
                <w:color w:val="000000"/>
                <w:sz w:val="14"/>
              </w:rPr>
              <w:t>84</w:t>
            </w:r>
          </w:p>
        </w:tc>
        <w:tc>
          <w:tcPr>
            <w:tcW w:type="dxa" w:w="3312"/>
            <w:vAlign w:val="top"/>
            <w:tcMar>
              <w:top w:w="90" w:type="dxa"/>
              <w:start w:w="90" w:type="dxa"/>
              <w:bottom w:w="90" w:type="dxa"/>
              <w:end w:w="90" w:type="dxa"/>
            </w:tcMar>
          </w:tcPr>
          <w:p>
            <w:pPr>
              <w:spacing w:after="40"/>
            </w:pPr>
            <w:r>
              <w:rPr>
                <w:rFonts w:ascii="Arial" w:hAnsi="Arial"/>
                <w:color w:val="000000"/>
                <w:sz w:val="14"/>
              </w:rPr>
              <w:t>Flake8 E231 reports a missing space after a comma.</w:t>
            </w:r>
          </w:p>
        </w:tc>
        <w:tc>
          <w:tcPr>
            <w:tcW w:type="dxa" w:w="3240"/>
            <w:vAlign w:val="top"/>
            <w:tcMar>
              <w:top w:w="90" w:type="dxa"/>
              <w:start w:w="90" w:type="dxa"/>
              <w:bottom w:w="90" w:type="dxa"/>
              <w:end w:w="90" w:type="dxa"/>
            </w:tcMar>
          </w:tcPr>
          <w:p>
            <w:pPr>
              <w:spacing w:after="40"/>
            </w:pPr>
            <w:r>
              <w:rPr>
                <w:rFonts w:ascii="Arial" w:hAnsi="Arial"/>
                <w:color w:val="000000"/>
                <w:sz w:val="14"/>
              </w:rPr>
              <w:t>Added the required space after the comma.</w:t>
            </w:r>
          </w:p>
        </w:tc>
      </w:tr>
      <w:tr>
        <w:tc>
          <w:tcPr>
            <w:tcW w:type="dxa" w:w="1944"/>
            <w:vAlign w:val="top"/>
            <w:tcMar>
              <w:top w:w="90" w:type="dxa"/>
              <w:start w:w="90" w:type="dxa"/>
              <w:bottom w:w="90" w:type="dxa"/>
              <w:end w:w="90" w:type="dxa"/>
            </w:tcMar>
          </w:tcPr>
          <w:p>
            <w:pPr>
              <w:spacing w:after="40"/>
            </w:pPr>
            <w:r>
              <w:rPr>
                <w:rFonts w:ascii="Arial" w:hAnsi="Arial"/>
                <w:color w:val="000000"/>
                <w:sz w:val="14"/>
              </w:rPr>
              <w:t>Line exceeds the configured length</w:t>
            </w:r>
          </w:p>
        </w:tc>
        <w:tc>
          <w:tcPr>
            <w:tcW w:type="dxa" w:w="1440"/>
            <w:vAlign w:val="top"/>
            <w:tcMar>
              <w:top w:w="90" w:type="dxa"/>
              <w:start w:w="90" w:type="dxa"/>
              <w:bottom w:w="90" w:type="dxa"/>
              <w:end w:w="90" w:type="dxa"/>
            </w:tcMar>
          </w:tcPr>
          <w:p>
            <w:pPr>
              <w:spacing w:after="40"/>
            </w:pPr>
            <w:r>
              <w:rPr>
                <w:rFonts w:ascii="Arial" w:hAnsi="Arial"/>
                <w:color w:val="000000"/>
                <w:sz w:val="14"/>
              </w:rPr>
              <w:t>Formatting</w:t>
            </w:r>
          </w:p>
        </w:tc>
        <w:tc>
          <w:tcPr>
            <w:tcW w:type="dxa" w:w="1152"/>
            <w:vAlign w:val="top"/>
            <w:tcMar>
              <w:top w:w="90" w:type="dxa"/>
              <w:start w:w="90" w:type="dxa"/>
              <w:bottom w:w="90" w:type="dxa"/>
              <w:end w:w="90" w:type="dxa"/>
            </w:tcMar>
          </w:tcPr>
          <w:p>
            <w:pPr>
              <w:spacing w:after="40"/>
            </w:pPr>
            <w:r>
              <w:rPr>
                <w:rFonts w:ascii="Arial" w:hAnsi="Arial"/>
                <w:color w:val="000000"/>
                <w:sz w:val="14"/>
              </w:rPr>
              <w:t>85; later line 87</w:t>
            </w:r>
          </w:p>
        </w:tc>
        <w:tc>
          <w:tcPr>
            <w:tcW w:type="dxa" w:w="3312"/>
            <w:vAlign w:val="top"/>
            <w:tcMar>
              <w:top w:w="90" w:type="dxa"/>
              <w:start w:w="90" w:type="dxa"/>
              <w:bottom w:w="90" w:type="dxa"/>
              <w:end w:w="90" w:type="dxa"/>
            </w:tcMar>
          </w:tcPr>
          <w:p>
            <w:pPr>
              <w:spacing w:after="40"/>
            </w:pPr>
            <w:r>
              <w:rPr>
                <w:rFonts w:ascii="Arial" w:hAnsi="Arial"/>
                <w:color w:val="000000"/>
                <w:sz w:val="14"/>
              </w:rPr>
              <w:t>Flake8 E501 flags lines longer than the 79-character limit. A later run showed one remaining long line before it was corrected.</w:t>
            </w:r>
          </w:p>
        </w:tc>
        <w:tc>
          <w:tcPr>
            <w:tcW w:type="dxa" w:w="3240"/>
            <w:vAlign w:val="top"/>
            <w:tcMar>
              <w:top w:w="90" w:type="dxa"/>
              <w:start w:w="90" w:type="dxa"/>
              <w:bottom w:w="90" w:type="dxa"/>
              <w:end w:w="90" w:type="dxa"/>
            </w:tcMar>
          </w:tcPr>
          <w:p>
            <w:pPr>
              <w:spacing w:after="40"/>
            </w:pPr>
            <w:r>
              <w:rPr>
                <w:rFonts w:ascii="Arial" w:hAnsi="Arial"/>
                <w:color w:val="000000"/>
                <w:sz w:val="14"/>
              </w:rPr>
              <w:t>Split long expressions or signatures across multiple lines, then reran Flake8.</w:t>
            </w:r>
          </w:p>
        </w:tc>
      </w:tr>
    </w:tbl>
    <w:p/>
    <w:p>
      <w:pPr>
        <w:spacing w:before="60"/>
      </w:pPr>
      <w:r>
        <w:rPr>
          <w:b/>
          <w:color w:val="000000"/>
        </w:rPr>
        <w:t xml:space="preserve">Accuracy note: </w:t>
      </w:r>
      <w:r>
        <w:rPr>
          <w:color w:val="000000"/>
        </w:rPr>
        <w:t>The baseline Bandit summary showed four findings in total (two low, one medium, and one high). The available screenshot identifies B301 at line 67, but does not show the identifiers/descriptions for the other three findings. This table records the confirmed finding rather than inventing the remaining details.</w:t>
      </w:r>
    </w:p>
    <w:p>
      <w:r>
        <w:rPr>
          <w:color w:val="000000"/>
        </w:rPr>
        <w:br w:type="page"/>
      </w:r>
    </w:p>
    <w:p>
      <w:pPr>
        <w:pStyle w:val="Heading1"/>
      </w:pPr>
      <w:r>
        <w:rPr>
          <w:color w:val="000000"/>
        </w:rPr>
        <w:t>2. Reflection</w:t>
      </w:r>
    </w:p>
    <w:p>
      <w:r>
        <w:rPr>
          <w:color w:val="000000"/>
        </w:rPr>
        <w:t>The reflection responses below are drafted to match the lab objectives and the work completed. The uploaded handout did not contain a separate list of exact reflection questions, so these are summary responses rather than verbatim answers to unseen questions.</w:t>
      </w:r>
    </w:p>
    <w:p>
      <w:pPr>
        <w:spacing w:before="100" w:after="40"/>
      </w:pPr>
      <w:r>
        <w:rPr>
          <w:b/>
          <w:color w:val="000000"/>
        </w:rPr>
        <w:t>1. What is static code analysis, and why is it useful?</w:t>
      </w:r>
    </w:p>
    <w:p>
      <w:r>
        <w:rPr>
          <w:color w:val="000000"/>
        </w:rPr>
        <w:t>Static code analysis examines source code without executing it to identify potential bugs, security vulnerabilities, and style violations. It helps developers detect problems early, improve code quality, and make programs easier to maintain.</w:t>
      </w:r>
    </w:p>
    <w:p>
      <w:pPr>
        <w:spacing w:before="100" w:after="40"/>
      </w:pPr>
      <w:r>
        <w:rPr>
          <w:b/>
          <w:color w:val="000000"/>
        </w:rPr>
        <w:t>2. What is the difference between Pylint, Bandit, and Flake8?</w:t>
      </w:r>
    </w:p>
    <w:p>
      <w:r>
        <w:rPr>
          <w:color w:val="000000"/>
        </w:rPr>
        <w:t>Pylint focuses on code quality, naming conventions, documentation, and potential programming errors. Bandit identifies common security vulnerabilities and unsafe coding patterns. Flake8 checks Python style conventions, whitespace, line length, and related errors. Using all three provides a broader analysis than using any one tool alone.</w:t>
      </w:r>
    </w:p>
    <w:p>
      <w:pPr>
        <w:spacing w:before="100" w:after="40"/>
      </w:pPr>
      <w:r>
        <w:rPr>
          <w:b/>
          <w:color w:val="000000"/>
        </w:rPr>
        <w:t>3. What was the most important issue identified during this lab?</w:t>
      </w:r>
    </w:p>
    <w:p>
      <w:r>
        <w:rPr>
          <w:color w:val="000000"/>
        </w:rPr>
        <w:t>One important issue was the use of pickle.load() to restore address book backups. Loading untrusted pickle data can execute arbitrary code. I replaced the pickle-based backup and restore implementation with JSON, which is more suitable for storing ordinary contact data. I also added basic validation of the restored data structure.</w:t>
      </w:r>
    </w:p>
    <w:p>
      <w:pPr>
        <w:spacing w:before="100" w:after="40"/>
      </w:pPr>
      <w:r>
        <w:rPr>
          <w:b/>
          <w:color w:val="000000"/>
        </w:rPr>
        <w:t>4. How did static analysis improve the program?</w:t>
      </w:r>
    </w:p>
    <w:p>
      <w:r>
        <w:rPr>
          <w:color w:val="000000"/>
        </w:rPr>
        <w:t>Static analysis helped identify broad exception handling, missing function docstrings, inconsistent naming conventions, unspecified file encodings, and formatting violations. I addressed these issues by improving the contact-existence check, adding documentation, adopting snake_case naming, explicitly specifying UTF-8 encoding, and correcting formatting problems.</w:t>
      </w:r>
    </w:p>
    <w:p>
      <w:pPr>
        <w:spacing w:before="100" w:after="40"/>
      </w:pPr>
      <w:r>
        <w:rPr>
          <w:b/>
          <w:color w:val="000000"/>
        </w:rPr>
        <w:t>5. What did you learn from this lab?</w:t>
      </w:r>
    </w:p>
    <w:p>
      <w:r>
        <w:rPr>
          <w:color w:val="000000"/>
        </w:rPr>
        <w:t>I learned that a program can execute successfully and still contain security, maintainability, and style problems. Static analysis tools help identify these issues systematically. After making changes, rerunning the tools is essential to verify that findings have been addressed and that the code meets the required quality standards.</w:t>
      </w:r>
    </w:p>
    <w:p>
      <w:pPr>
        <w:pStyle w:val="Heading1"/>
      </w:pPr>
      <w:r>
        <w:rPr>
          <w:color w:val="000000"/>
        </w:rPr>
        <w:t>3. Before-and-After Results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color w:val="000000"/>
                <w:sz w:val="17"/>
              </w:rPr>
              <w:t>Tool</w:t>
            </w:r>
          </w:p>
        </w:tc>
        <w:tc>
          <w:tcPr>
            <w:tcW w:type="dxa" w:w="2592"/>
          </w:tcPr>
          <w:p>
            <w:r>
              <w:rPr>
                <w:b/>
                <w:color w:val="000000"/>
                <w:sz w:val="17"/>
              </w:rPr>
              <w:t>Before</w:t>
            </w:r>
          </w:p>
        </w:tc>
        <w:tc>
          <w:tcPr>
            <w:tcW w:type="dxa" w:w="2592"/>
          </w:tcPr>
          <w:p>
            <w:r>
              <w:rPr>
                <w:b/>
                <w:color w:val="000000"/>
                <w:sz w:val="17"/>
              </w:rPr>
              <w:t>After</w:t>
            </w:r>
          </w:p>
        </w:tc>
        <w:tc>
          <w:tcPr>
            <w:tcW w:type="dxa" w:w="2592"/>
          </w:tcPr>
          <w:p>
            <w:r>
              <w:rPr>
                <w:b/>
                <w:color w:val="000000"/>
                <w:sz w:val="17"/>
              </w:rPr>
              <w:t>Interpretation</w:t>
            </w:r>
          </w:p>
        </w:tc>
      </w:tr>
      <w:tr>
        <w:tc>
          <w:tcPr>
            <w:tcW w:type="dxa" w:w="2592"/>
          </w:tcPr>
          <w:p>
            <w:r>
              <w:rPr>
                <w:color w:val="000000"/>
                <w:sz w:val="17"/>
              </w:rPr>
              <w:t>Pylint</w:t>
            </w:r>
          </w:p>
        </w:tc>
        <w:tc>
          <w:tcPr>
            <w:tcW w:type="dxa" w:w="2592"/>
          </w:tcPr>
          <w:p>
            <w:r>
              <w:rPr>
                <w:color w:val="000000"/>
                <w:sz w:val="17"/>
              </w:rPr>
              <w:t>5.47/10</w:t>
            </w:r>
          </w:p>
        </w:tc>
        <w:tc>
          <w:tcPr>
            <w:tcW w:type="dxa" w:w="2592"/>
          </w:tcPr>
          <w:p>
            <w:r>
              <w:rPr>
                <w:color w:val="000000"/>
                <w:sz w:val="17"/>
              </w:rPr>
              <w:t>10.00/10</w:t>
            </w:r>
          </w:p>
        </w:tc>
        <w:tc>
          <w:tcPr>
            <w:tcW w:type="dxa" w:w="2592"/>
          </w:tcPr>
          <w:p>
            <w:r>
              <w:rPr>
                <w:color w:val="000000"/>
                <w:sz w:val="17"/>
              </w:rPr>
              <w:t>The final reported score reached 10.00/10.</w:t>
            </w:r>
          </w:p>
        </w:tc>
      </w:tr>
      <w:tr>
        <w:tc>
          <w:tcPr>
            <w:tcW w:type="dxa" w:w="2592"/>
          </w:tcPr>
          <w:p>
            <w:r>
              <w:rPr>
                <w:color w:val="000000"/>
                <w:sz w:val="17"/>
              </w:rPr>
              <w:t>Bandit</w:t>
            </w:r>
          </w:p>
        </w:tc>
        <w:tc>
          <w:tcPr>
            <w:tcW w:type="dxa" w:w="2592"/>
          </w:tcPr>
          <w:p>
            <w:r>
              <w:rPr>
                <w:color w:val="000000"/>
                <w:sz w:val="17"/>
              </w:rPr>
              <w:t>4 findings</w:t>
            </w:r>
          </w:p>
        </w:tc>
        <w:tc>
          <w:tcPr>
            <w:tcW w:type="dxa" w:w="2592"/>
          </w:tcPr>
          <w:p>
            <w:r>
              <w:rPr>
                <w:color w:val="000000"/>
                <w:sz w:val="17"/>
              </w:rPr>
              <w:t>No issues identified</w:t>
            </w:r>
          </w:p>
        </w:tc>
        <w:tc>
          <w:tcPr>
            <w:tcW w:type="dxa" w:w="2592"/>
          </w:tcPr>
          <w:p>
            <w:r>
              <w:rPr>
                <w:color w:val="000000"/>
                <w:sz w:val="17"/>
              </w:rPr>
              <w:t>The final report states that no issues were identified.</w:t>
            </w:r>
          </w:p>
        </w:tc>
      </w:tr>
      <w:tr>
        <w:tc>
          <w:tcPr>
            <w:tcW w:type="dxa" w:w="2592"/>
          </w:tcPr>
          <w:p>
            <w:r>
              <w:rPr>
                <w:color w:val="000000"/>
                <w:sz w:val="17"/>
              </w:rPr>
              <w:t>Flake8</w:t>
            </w:r>
          </w:p>
        </w:tc>
        <w:tc>
          <w:tcPr>
            <w:tcW w:type="dxa" w:w="2592"/>
          </w:tcPr>
          <w:p>
            <w:r>
              <w:rPr>
                <w:color w:val="000000"/>
                <w:sz w:val="17"/>
              </w:rPr>
              <w:t>4 reported violations</w:t>
            </w:r>
          </w:p>
        </w:tc>
        <w:tc>
          <w:tcPr>
            <w:tcW w:type="dxa" w:w="2592"/>
          </w:tcPr>
          <w:p>
            <w:r>
              <w:rPr>
                <w:color w:val="000000"/>
                <w:sz w:val="17"/>
              </w:rPr>
              <w:t>0 reported violations</w:t>
            </w:r>
          </w:p>
        </w:tc>
        <w:tc>
          <w:tcPr>
            <w:tcW w:type="dxa" w:w="2592"/>
          </w:tcPr>
          <w:p>
            <w:r>
              <w:rPr>
                <w:color w:val="000000"/>
                <w:sz w:val="17"/>
              </w:rPr>
              <w:t>The final report was empty after the final rerun.</w:t>
            </w:r>
          </w:p>
        </w:tc>
      </w:tr>
    </w:tbl>
    <w:p>
      <w:r>
        <w:rPr>
          <w:color w:val="000000"/>
        </w:rPr>
        <w:t>Before submission, make sure the saved after-reports were generated after the final source-code change. The Flake8 after-report should be empty, the Bandit after-report should say no issues were identified, and the Pylint after-report should show 10.00/10.</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000000"/>
        <w:sz w:val="16"/>
      </w:rPr>
      <w:t>Lab 5 — Static Code Analysis</w:t>
    </w:r>
  </w:p>
  <w:p>
    <w:pPr>
      <w:jc w:val="right"/>
    </w:pPr>
    <w:r>
      <w:rPr>
        <w:color w:val="000000"/>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LAB 5  |  STATIC CODE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7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