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BOJ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Opinions:</w:t>
      </w:r>
      <w:r>
        <w:t xml:space="preserve"> </w:t>
      </w:r>
      <w:r>
        <w:t xml:space="preserve">September</w:t>
      </w:r>
      <w:r>
        <w:t xml:space="preserve"> </w:t>
      </w:r>
      <w:r>
        <w:t xml:space="preserve">vs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iCs/>
          <w:i/>
        </w:rPr>
        <w:t xml:space="preserve">Meetings: 17–18 September 2026 (SOO released 1 October) vs 30–31 July 2026 (released 10 August). Source: BOJ official English translations.</w:t>
      </w:r>
    </w:p>
    <w:bookmarkStart w:id="20" w:name="bottom-line"/>
    <w:p>
      <w:pPr>
        <w:pStyle w:val="Heading1"/>
      </w:pPr>
      <w:r>
        <w:t xml:space="preserve">Bottom 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July = hold at 1.0% (8–1, Takata dissenting for a hike). September = hike to 1.25% (7–2, Asada and Sato dissenting against).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Tone:</w:t>
      </w:r>
      <w:r>
        <w:t xml:space="preserve"> </w:t>
      </w:r>
      <w:r>
        <w:t xml:space="preserve">Path guidance is more hawkish than July (explicit</w:t>
      </w:r>
      <w:r>
        <w:t xml:space="preserve"> </w:t>
      </w:r>
      <w:r>
        <w:t xml:space="preserve">“</w:t>
      </w:r>
      <w:r>
        <w:t xml:space="preserve">accelerate if upside signs</w:t>
      </w:r>
      <w:r>
        <w:t xml:space="preserve">”</w:t>
      </w:r>
      <w:r>
        <w:t xml:space="preserve">, shorter hike intervals, neutral rate may be higher), but the board is visibly less united, with two dovish dissents.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Back-to-back hike (October)?</w:t>
      </w:r>
      <w:r>
        <w:t xml:space="preserve"> </w:t>
      </w:r>
      <w:r>
        <w:t xml:space="preserve">The SOO does not point to it. One member notes this was the first hike in three months and that intervals are getting shorter, but another says there is</w:t>
      </w:r>
      <w:r>
        <w:t xml:space="preserve"> </w:t>
      </w:r>
      <w:r>
        <w:t xml:space="preserve">“</w:t>
      </w:r>
      <w:r>
        <w:t xml:space="preserve">no need to take hasty action</w:t>
      </w:r>
      <w:r>
        <w:t xml:space="preserve">”</w:t>
      </w:r>
      <w:r>
        <w:t xml:space="preserve"> </w:t>
      </w:r>
      <w:r>
        <w:t xml:space="preserve">and that the Bank is not behind the curve. Quarterly pacing (December next) is the better read.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50bp?</w:t>
      </w:r>
      <w:r>
        <w:t xml:space="preserve"> </w:t>
      </w:r>
      <w:r>
        <w:t xml:space="preserve">No support in the document. The language is conditional: only</w:t>
      </w:r>
      <w:r>
        <w:t xml:space="preserve"> </w:t>
      </w:r>
      <w:r>
        <w:t xml:space="preserve">“</w:t>
      </w:r>
      <w:r>
        <w:t xml:space="preserve">if signs of an upward deviation in prices are observed, the Bank will need to accelerate the pace</w:t>
      </w:r>
      <w:r>
        <w:t xml:space="preserve">”</w:t>
      </w:r>
      <w:r>
        <w:t xml:space="preserve">. July had a similar line (</w:t>
      </w:r>
      <w:r>
        <w:t xml:space="preserve">“</w:t>
      </w:r>
      <w:r>
        <w:t xml:space="preserve">pace could be faster than market expectations</w:t>
      </w:r>
      <w:r>
        <w:t xml:space="preserve">”</w:t>
      </w:r>
      <w:r>
        <w:t xml:space="preserve">), and a larger hike did not follow.</w:t>
      </w:r>
    </w:p>
    <w:bookmarkEnd w:id="20"/>
    <w:bookmarkStart w:id="21" w:name="standout-opinions"/>
    <w:p>
      <w:pPr>
        <w:pStyle w:val="Heading1"/>
      </w:pPr>
      <w:r>
        <w:t xml:space="preserve">Standout opinions</w:t>
      </w:r>
    </w:p>
    <w:p>
      <w:pPr>
        <w:pStyle w:val="FirstParagraph"/>
      </w:pPr>
      <w:r>
        <w:rPr>
          <w:bCs/>
          <w:b/>
        </w:rPr>
        <w:t xml:space="preserve">Most hawkish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If signs of an upward deviation in prices are observed, the Bank will need to accelerate the pace of rate hikes.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Underlying CPI inflation has generally reached 2 percent. Developments in prices since the previous MPM have further supported this view.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Need to</w:t>
      </w:r>
      <w:r>
        <w:t xml:space="preserve"> </w:t>
      </w:r>
      <w:r>
        <w:t xml:space="preserve">“</w:t>
      </w:r>
      <w:r>
        <w:t xml:space="preserve">shift from the current stance of encouraging a rise in underlying inflation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demonstrate to the market its determination to prevent upward deviations in prices through a nimble response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neutral interest rate may deviate upward from prior estimates or the levels anticipated by the market.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Bring the policy interest rate closer to the approximate goal relatively soon.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Most dovish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Given that the year-on-year rate of increase in the CPI has been below 2 percent, and it cannot necessarily be said that the recent economic situation is strong, it is desirable… to maintain the current policy interest rate.</w:t>
      </w:r>
      <w:r>
        <w:t xml:space="preserve">”</w:t>
      </w:r>
      <w:r>
        <w:t xml:space="preserve"> </w:t>
      </w:r>
      <w:r>
        <w:t xml:space="preserve">(consistent with Asada’s dissent)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Current economic and price developments do not appear to have substantially accelerated compared to before… it is not appropriate… to raise the policy interest rate at this time.</w:t>
      </w:r>
      <w:r>
        <w:t xml:space="preserve">”</w:t>
      </w:r>
      <w:r>
        <w:t xml:space="preserve"> </w:t>
      </w:r>
      <w:r>
        <w:t xml:space="preserve">(consistent with Sato’s dissent)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Underlying CPI inflation… does not seem to be accelerating at a speed that could lead the Bank to fall behind the curve, so there is no need to take hasty action.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Q2 GDP: domestic demand negative, and the positive external contribution reflects lower imports;</w:t>
      </w:r>
      <w:r>
        <w:t xml:space="preserve"> </w:t>
      </w:r>
      <w:r>
        <w:t xml:space="preserve">“</w:t>
      </w:r>
      <w:r>
        <w:t xml:space="preserve">it cannot be said that the economy is growing in a strong and sound manner.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CPI (ex-fresh food, and ex-fresh food and energy)</w:t>
      </w:r>
      <w:r>
        <w:t xml:space="preserve"> </w:t>
      </w:r>
      <w:r>
        <w:t xml:space="preserve">“</w:t>
      </w:r>
      <w:r>
        <w:t xml:space="preserve">have remained in the range of 1.5–2.0 percent</w:t>
      </w:r>
      <w:r>
        <w:t xml:space="preserve">”</w:t>
      </w:r>
      <w:r>
        <w:t xml:space="preserve">, and services price inflation has plateaued.</w:t>
      </w:r>
    </w:p>
    <w:p>
      <w:pPr>
        <w:pStyle w:val="FirstParagraph"/>
      </w:pPr>
      <w:r>
        <w:rPr>
          <w:iCs/>
          <w:i/>
        </w:rPr>
        <w:t xml:space="preserve">The SOO does not name speakers. Linking bullets to the two dissenters is inference from the vote and content.</w:t>
      </w:r>
    </w:p>
    <w:bookmarkEnd w:id="21"/>
    <w:bookmarkStart w:id="22" w:name="side-by-side"/>
    <w:p>
      <w:pPr>
        <w:pStyle w:val="Heading1"/>
      </w:pPr>
      <w:r>
        <w:t xml:space="preserve">Side-by-side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(hold)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(hike)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 impact of June hike (1–1.5 year lag); keep rate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on track; Middle East, AI demand and FX are upside risks; financial conditions still accommodative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Underlying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Approaching 2%</w:t>
            </w:r>
            <w:r>
              <w:t xml:space="preserve">”</w:t>
            </w:r>
            <w:r>
              <w:t xml:space="preserve">; check it anchors around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view</w:t>
            </w:r>
            <w:r>
              <w:t xml:space="preserve"> </w:t>
            </w:r>
            <w:r>
              <w:t xml:space="preserve">“</w:t>
            </w:r>
            <w:r>
              <w:t xml:space="preserve">generally reached 2%</w:t>
            </w:r>
            <w:r>
              <w:t xml:space="preserve">”</w:t>
            </w:r>
            <w:r>
              <w:t xml:space="preserve">; another says undeterminable, so assume</w:t>
            </w:r>
            <w:r>
              <w:t xml:space="preserve"> </w:t>
            </w:r>
            <w:r>
              <w:t xml:space="preserve">“</w:t>
            </w:r>
            <w:r>
              <w:t xml:space="preserve">around 2%</w:t>
            </w:r>
            <w:r>
              <w:t xml:space="preserve">”</w:t>
            </w:r>
            <w:r>
              <w:t xml:space="preserve"> </w:t>
            </w:r>
            <w:r>
              <w:t xml:space="preserve">and focus on anchoring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Significantly skewed to the upside</w:t>
            </w:r>
            <w:r>
              <w:t xml:space="preserve">”</w:t>
            </w:r>
            <w:r>
              <w:t xml:space="preserve"> </w:t>
            </w:r>
            <w:r>
              <w:t xml:space="preserve">(oil pass-through, output gap, AI, fiscal, weak yen)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risks</w:t>
            </w:r>
            <w:r>
              <w:t xml:space="preserve"> </w:t>
            </w:r>
            <w:r>
              <w:t xml:space="preserve">“</w:t>
            </w:r>
            <w:r>
              <w:t xml:space="preserve">continue to be high</w:t>
            </w:r>
            <w:r>
              <w:t xml:space="preserve">”</w:t>
            </w:r>
            <w:r>
              <w:t xml:space="preserve">; oil may stay high; distribution costs and packaging help pass-through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AI-led upswing, slowdown concerns subsided, consumption resilient; AI-bubble downside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domestic demand negative (called technical); not</w:t>
            </w:r>
            <w:r>
              <w:t xml:space="preserve"> </w:t>
            </w:r>
            <w:r>
              <w:t xml:space="preserve">“</w:t>
            </w:r>
            <w:r>
              <w:t xml:space="preserve">strong and sound</w:t>
            </w:r>
            <w:r>
              <w:t xml:space="preserve">”</w:t>
            </w:r>
            <w:r>
              <w:t xml:space="preserve">; Middle East hit smaller than feared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Hike pace could exceed market expectations; discuss size of hike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hiking if conditions hold; accelerate on upside signs; keep room for nimble adjustment in either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rate below lower bound of the range, so hike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now inside lower end of range; neutral could be higher; assess after each hike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Hawks: accelerate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Interval shorter than before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no hasty action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Takata (hike)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Asada, Sato (hold)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Earthquake, fiscal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for careful explanation; examine impact of hike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path, market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 cumulative effect of past hikes; consider neutral estimates; act if market moves excessively</w:t>
            </w:r>
          </w:p>
        </w:tc>
      </w:tr>
    </w:tbl>
    <w:bookmarkEnd w:id="22"/>
    <w:bookmarkStart w:id="23" w:name="questions-this-raises"/>
    <w:p>
      <w:pPr>
        <w:pStyle w:val="Heading1"/>
      </w:pPr>
      <w:r>
        <w:t xml:space="preserve">Questions this raises</w:t>
      </w:r>
    </w:p>
    <w:p>
      <w:pPr>
        <w:numPr>
          <w:ilvl w:val="0"/>
          <w:numId w:val="1004"/>
        </w:numPr>
        <w:pStyle w:val="Compact"/>
      </w:pPr>
      <w:r>
        <w:t xml:space="preserve">Does the</w:t>
      </w:r>
      <w:r>
        <w:t xml:space="preserve"> </w:t>
      </w:r>
      <w:r>
        <w:t xml:space="preserve">“</w:t>
      </w:r>
      <w:r>
        <w:t xml:space="preserve">shorter interval</w:t>
      </w:r>
      <w:r>
        <w:t xml:space="preserve">”</w:t>
      </w:r>
      <w:r>
        <w:t xml:space="preserve"> </w:t>
      </w:r>
      <w:r>
        <w:t xml:space="preserve">language imply quarterly pacing is the new baseline, or the upper end of what the board will accept?</w:t>
      </w:r>
    </w:p>
    <w:p>
      <w:pPr>
        <w:numPr>
          <w:ilvl w:val="0"/>
          <w:numId w:val="1004"/>
        </w:numPr>
        <w:pStyle w:val="Compact"/>
      </w:pPr>
      <w:r>
        <w:t xml:space="preserve">With two Takaichi-appointed members dissenting, how much does the vote constrain the next hike timing?</w:t>
      </w:r>
    </w:p>
    <w:p>
      <w:pPr>
        <w:numPr>
          <w:ilvl w:val="0"/>
          <w:numId w:val="1004"/>
        </w:numPr>
        <w:pStyle w:val="Compact"/>
      </w:pPr>
      <w:r>
        <w:t xml:space="preserve">What evidence would count as</w:t>
      </w:r>
      <w:r>
        <w:t xml:space="preserve"> </w:t>
      </w:r>
      <w:r>
        <w:t xml:space="preserve">“</w:t>
      </w:r>
      <w:r>
        <w:t xml:space="preserve">signs of an upward deviation</w:t>
      </w:r>
      <w:r>
        <w:t xml:space="preserve">”</w:t>
      </w:r>
      <w:r>
        <w:t xml:space="preserve"> </w:t>
      </w:r>
      <w:r>
        <w:t xml:space="preserve">strong enough to accelerate (core CPI, wage settlements, import prices, yen)?</w:t>
      </w:r>
    </w:p>
    <w:p>
      <w:pPr>
        <w:numPr>
          <w:ilvl w:val="0"/>
          <w:numId w:val="1004"/>
        </w:numPr>
        <w:pStyle w:val="Compact"/>
      </w:pPr>
      <w:r>
        <w:t xml:space="preserve">The Cabinet Office is asking for neutral-rate estimates. Will the BOJ publish a refreshed range, and does 1.25% inside the range reduce the urgency?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BOJ Summary of Opinions: September vs July 2026</dc:title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