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Bank of Japan: Hawk–Dove Assessment</w:t>
      </w:r>
    </w:p>
    <w:p>
      <w:pPr>
        <w:spacing w:after="160"/>
      </w:pPr>
      <w:r>
        <w:rPr>
          <w:b w:val="0"/>
          <w:i/>
          <w:color w:val="607088"/>
          <w:sz w:val="24"/>
        </w:rPr>
        <w:t>Key speakers and tone shifts in official speeches and reports, July 2024 – June 2026</w:t>
      </w:r>
    </w:p>
    <w:p>
      <w:pPr>
        <w:spacing w:after="320"/>
      </w:pPr>
      <w:r>
        <w:rPr>
          <w:b w:val="0"/>
          <w:i w:val="0"/>
          <w:color w:val="808898"/>
          <w:sz w:val="18"/>
        </w:rPr>
        <w:t>Prepared July 4, 2026 · Sources: Bank of Japan website (boj.or.jp), Speeches and Statements 2024–2026; Outlook for Economic Activity and Prices; press coverage for post-speech events.</w:t>
      </w:r>
    </w:p>
    <w:p>
      <w:pPr>
        <w:pStyle w:val="Heading1"/>
      </w:pPr>
      <w:r>
        <w:t>Executive Summary</w:t>
      </w:r>
    </w:p>
    <w:p>
      <w:pPr>
        <w:spacing w:after="160"/>
      </w:pPr>
      <w:r>
        <w:rPr>
          <w:b w:val="0"/>
          <w:i w:val="0"/>
        </w:rPr>
        <w:t>Over the two years to June 2026, the Bank of Japan's communication shifted decisively from cautious normalization toward confident, if still gradual, tightening. The policy rate rose from 0.25 percent (July 2024) to 0.5 percent (January 2025), paused for eleven months during the US tariff shock, then resumed with hikes to 0.75 percent (December 2025) and 1.00 percent (June 2026) — the highest level since September 1995.</w:t>
      </w:r>
    </w:p>
    <w:p>
      <w:pPr>
        <w:spacing w:after="160"/>
      </w:pPr>
      <w:r>
        <w:rPr>
          <w:b w:val="0"/>
          <w:i w:val="0"/>
        </w:rPr>
        <w:t>The board's center of gravity moved hawkish through three channels. First, turnover: the two most dovish members, Adachi Seiji (term ended March 2025) and Nakamura Toyoaki (June 2025), were replaced by Koeda Junko and Masu Kazuyuki, both of whom back continued normalization. Second, conversion: the leading remaining dove, Noguchi Asahi, moved from resisting hikes to publicly arguing that a pace of adjustment that is “too slow” is itself a risk. Third, escalation among hawks: Takata Hajime proposed a hike to 1.0 percent at the January 2026 meeting, and Tamura Naoki argued the 2 percent target could be judged achieved “as early as this spring” 2026, with the neutral rate at least around 1 percent and, subsequently, a case for moving toward 2 percent.</w:t>
      </w:r>
    </w:p>
    <w:p>
      <w:pPr>
        <w:spacing w:after="160"/>
      </w:pPr>
      <w:r>
        <w:rPr>
          <w:b w:val="0"/>
          <w:i w:val="0"/>
        </w:rPr>
        <w:t>Governor Ueda's own language firmed from conditional (“if the outlook is realized”) to affirmative: by December 2025 he asserted the likelihood of the baseline scenario “has been rising” and that the Bank “will continue to raise the policy interest rate.” The main countervailing development is political: Asada Toichiro, Prime Minister Takaichi's first board appointment and a noted reflationist, cast the sole dissent (preferring a hold) against the June 2026 hike at only his second meeting, creating a new dovish pole that could grow with future appointments.</w:t>
      </w:r>
    </w:p>
    <w:p>
      <w:pPr>
        <w:pStyle w:val="Heading1"/>
      </w:pPr>
      <w:r>
        <w:t>Policy Backdrop: The Rate Path</w:t>
      </w:r>
    </w:p>
    <w:tbl>
      <w:tblPr>
        <w:tblStyle w:val="LightGrid-Accent1"/>
        <w:tblW w:type="auto" w:w="0"/>
        <w:jc w:val="center"/>
        <w:tblLook w:firstColumn="1" w:firstRow="1" w:lastColumn="0" w:lastRow="0" w:noHBand="0" w:noVBand="1" w:val="04A0"/>
      </w:tblPr>
      <w:tblGrid>
        <w:gridCol w:w="2016"/>
        <w:gridCol w:w="7776"/>
      </w:tblGrid>
      <w:tr>
        <w:tc>
          <w:tcPr>
            <w:tcW w:type="dxa" w:w="2016"/>
          </w:tcPr>
          <w:p>
            <w:r>
              <w:rPr>
                <w:b/>
              </w:rPr>
              <w:t>Date</w:t>
            </w:r>
          </w:p>
        </w:tc>
        <w:tc>
          <w:tcPr>
            <w:tcW w:type="dxa" w:w="7776"/>
          </w:tcPr>
          <w:p>
            <w:r>
              <w:rPr>
                <w:b/>
              </w:rPr>
              <w:t>Event</w:t>
            </w:r>
          </w:p>
        </w:tc>
      </w:tr>
      <w:tr>
        <w:tc>
          <w:tcPr>
            <w:tcW w:type="dxa" w:w="2016"/>
          </w:tcPr>
          <w:p>
            <w:r>
              <w:t>Jul 31, 2024</w:t>
            </w:r>
          </w:p>
        </w:tc>
        <w:tc>
          <w:tcPr>
            <w:tcW w:type="dxa" w:w="7776"/>
          </w:tcPr>
          <w:p>
            <w:r>
              <w:t>Hike to 0.25%; plan announced to reduce JGB purchases.</w:t>
            </w:r>
          </w:p>
        </w:tc>
      </w:tr>
      <w:tr>
        <w:tc>
          <w:tcPr>
            <w:tcW w:type="dxa" w:w="2016"/>
          </w:tcPr>
          <w:p>
            <w:r>
              <w:t>Aug 5–7, 2024</w:t>
            </w:r>
          </w:p>
        </w:tc>
        <w:tc>
          <w:tcPr>
            <w:tcW w:type="dxa" w:w="7776"/>
          </w:tcPr>
          <w:p>
            <w:r>
              <w:t>Global market rout; Deputy Governor Uchida pledges no hikes while markets are unstable.</w:t>
            </w:r>
          </w:p>
        </w:tc>
      </w:tr>
      <w:tr>
        <w:tc>
          <w:tcPr>
            <w:tcW w:type="dxa" w:w="2016"/>
          </w:tcPr>
          <w:p>
            <w:r>
              <w:t>Jan 24, 2025</w:t>
            </w:r>
          </w:p>
        </w:tc>
        <w:tc>
          <w:tcPr>
            <w:tcW w:type="dxa" w:w="7776"/>
          </w:tcPr>
          <w:p>
            <w:r>
              <w:t>Hike to 0.5%, the highest since 2008, after signaling by Himino and Ueda.</w:t>
            </w:r>
          </w:p>
        </w:tc>
      </w:tr>
      <w:tr>
        <w:tc>
          <w:tcPr>
            <w:tcW w:type="dxa" w:w="2016"/>
          </w:tcPr>
          <w:p>
            <w:r>
              <w:t>Apr 2025</w:t>
            </w:r>
          </w:p>
        </w:tc>
        <w:tc>
          <w:tcPr>
            <w:tcW w:type="dxa" w:w="7776"/>
          </w:tcPr>
          <w:p>
            <w:r>
              <w:t>US tariff announcement; April Outlook Report cuts FY2025 growth forecast from 1.1% to 0.5% and FY2026 CPI from 2.0% to 1.7%; hiking cycle pauses.</w:t>
            </w:r>
          </w:p>
        </w:tc>
      </w:tr>
      <w:tr>
        <w:tc>
          <w:tcPr>
            <w:tcW w:type="dxa" w:w="2016"/>
          </w:tcPr>
          <w:p>
            <w:r>
              <w:t>Jun–Sep 2025</w:t>
            </w:r>
          </w:p>
        </w:tc>
        <w:tc>
          <w:tcPr>
            <w:tcW w:type="dxa" w:w="7776"/>
          </w:tcPr>
          <w:p>
            <w:r>
              <w:t>JGB taper extended at a gentler pace from April 2026; ETF/J-REIT sales guideline decided in September. July: Japan–US trade agreement reduces uncertainty.</w:t>
            </w:r>
          </w:p>
        </w:tc>
      </w:tr>
      <w:tr>
        <w:tc>
          <w:tcPr>
            <w:tcW w:type="dxa" w:w="2016"/>
          </w:tcPr>
          <w:p>
            <w:r>
              <w:t>Dec 19, 2025</w:t>
            </w:r>
          </w:p>
        </w:tc>
        <w:tc>
          <w:tcPr>
            <w:tcW w:type="dxa" w:w="7776"/>
          </w:tcPr>
          <w:p>
            <w:r>
              <w:t>Hike to 0.75% — first in eleven months; 10-year JGB yield rises above 2%.</w:t>
            </w:r>
          </w:p>
        </w:tc>
      </w:tr>
      <w:tr>
        <w:tc>
          <w:tcPr>
            <w:tcW w:type="dxa" w:w="2016"/>
          </w:tcPr>
          <w:p>
            <w:r>
              <w:t>Jan 2026</w:t>
            </w:r>
          </w:p>
        </w:tc>
        <w:tc>
          <w:tcPr>
            <w:tcW w:type="dxa" w:w="7776"/>
          </w:tcPr>
          <w:p>
            <w:r>
              <w:t>Hold; Takata proposes 1.0%. January Outlook restores forecasts to roughly pre-tariff levels.</w:t>
            </w:r>
          </w:p>
        </w:tc>
      </w:tr>
      <w:tr>
        <w:tc>
          <w:tcPr>
            <w:tcW w:type="dxa" w:w="2016"/>
          </w:tcPr>
          <w:p>
            <w:r>
              <w:t>Apr 28, 2026</w:t>
            </w:r>
          </w:p>
        </w:tc>
        <w:tc>
          <w:tcPr>
            <w:tcW w:type="dxa" w:w="7776"/>
          </w:tcPr>
          <w:p>
            <w:r>
              <w:t>Hold at 0.75% amid Iran-war worries; inflation forecast raised; Nakagawa reportedly calls for a hike.</w:t>
            </w:r>
          </w:p>
        </w:tc>
      </w:tr>
      <w:tr>
        <w:tc>
          <w:tcPr>
            <w:tcW w:type="dxa" w:w="2016"/>
          </w:tcPr>
          <w:p>
            <w:r>
              <w:t>Jun 16, 2026</w:t>
            </w:r>
          </w:p>
        </w:tc>
        <w:tc>
          <w:tcPr>
            <w:tcW w:type="dxa" w:w="7776"/>
          </w:tcPr>
          <w:p>
            <w:r>
              <w:t>Hike to 1.00% (vote 7–1, Asada dissenting), highest since 1995, amid yen weakness and large-scale FX intervention. Uchida fronts the press conference during Ueda's hospitalization.</w:t>
            </w:r>
          </w:p>
        </w:tc>
      </w:tr>
    </w:tbl>
    <w:p>
      <w:pPr>
        <w:spacing w:after="80"/>
      </w:pPr>
      <w:r>
        <w:rPr>
          <w:b w:val="0"/>
          <w:i w:val="0"/>
        </w:rPr>
      </w:r>
    </w:p>
    <w:p>
      <w:pPr>
        <w:pStyle w:val="Heading1"/>
      </w:pPr>
      <w:r>
        <w:t>Speaker-by-Speaker Assessment</w:t>
      </w:r>
    </w:p>
    <w:p>
      <w:pPr>
        <w:pStyle w:val="Heading2"/>
      </w:pPr>
      <w:r>
        <w:t>UEDA Kazuo — Governor</w:t>
      </w:r>
    </w:p>
    <w:p>
      <w:r>
        <w:rPr>
          <w:b/>
        </w:rPr>
        <w:t xml:space="preserve">Verdict: </w:t>
      </w:r>
      <w:r>
        <w:rPr>
          <w:i/>
        </w:rPr>
        <w:t>Hawkish drift: from patient, conditional normalizer to confident tightener (score ≈ +0.5 → +1).</w:t>
      </w:r>
    </w:p>
    <w:p>
      <w:pPr>
        <w:spacing w:after="160"/>
      </w:pPr>
      <w:r>
        <w:rPr>
          <w:b w:val="0"/>
          <w:i w:val="0"/>
        </w:rPr>
        <w:t>Through late 2024 Ueda kept the standard conditional formula — rates would rise “if the outlook is realized” — and delivered the January 2025 hike to 0.5 percent. He then held through the entire tariff-shock year while retaining a tightening bias. His August 2025 Jackson Hole remarks on Japan's structurally tight labor market under demographic decline gave analytical backing for durable wage pressure.</w:t>
      </w:r>
    </w:p>
    <w:p>
      <w:pPr>
        <w:spacing w:after="160"/>
      </w:pPr>
      <w:r>
        <w:rPr>
          <w:b w:val="0"/>
          <w:i w:val="0"/>
        </w:rPr>
        <w:t>By the December 2025 Keidanren speech, delivered a week after the hike to 0.75 percent, his framing turned affirmative: downside risks from tariffs had receded, wage momentum was intact, and the likelihood of the baseline scenario “has been rising.” He argued achievement of the 2 percent target “is steadily approaching” and urged firms to plan on 2 percent inflation. His June 3, 2026 Kisaragi-kai speech preceded the June 16 hike to 1.00 percent, which he missed due to hospitalization.</w:t>
      </w:r>
    </w:p>
    <w:p>
      <w:pPr>
        <w:ind w:left="576"/>
      </w:pPr>
      <w:r>
        <w:rPr>
          <w:i/>
          <w:color w:val="505A6E"/>
        </w:rPr>
        <w:t>“If the baseline scenario presented in the October Outlook Report is realized, the Bank, in accordance with improvement in economic activity and prices, will continue to raise the policy interest rate and adjust the degree of monetary accommodation.”</w:t>
      </w:r>
      <w:r>
        <w:rPr>
          <w:color w:val="808898"/>
          <w:sz w:val="18"/>
        </w:rPr>
        <w:t xml:space="preserve">  — Keidanren speech, December 25, 2025</w:t>
      </w:r>
    </w:p>
    <w:p>
      <w:pPr>
        <w:pStyle w:val="Heading2"/>
      </w:pPr>
      <w:r>
        <w:t>TAMURA Naoki — Policy Board Member</w:t>
      </w:r>
    </w:p>
    <w:p>
      <w:r>
        <w:rPr>
          <w:b/>
        </w:rPr>
        <w:t xml:space="preserve">Verdict: </w:t>
      </w:r>
      <w:r>
        <w:rPr>
          <w:i/>
        </w:rPr>
        <w:t>The board's most hawkish voice, consistently at the top of the spectrum (score ≈ +2 throughout).</w:t>
      </w:r>
    </w:p>
    <w:p>
      <w:pPr>
        <w:spacing w:after="160"/>
      </w:pPr>
      <w:r>
        <w:rPr>
          <w:b w:val="0"/>
          <w:i w:val="0"/>
        </w:rPr>
        <w:t>Tamura has argued since 2024 that the neutral rate is “at least around 1 percent” and that the Bank should get there promptly. His February 2026 Kanagawa speech is the clearest hawkish statement of the period: inflation has become “endogenous and sticky,” driven by labor costs rather than imports; underlying inflation has reached roughly 2 percent; and the impact of hikes to date on the economy has been “extremely limited,” implying considerable distance still to neutral.</w:t>
      </w:r>
    </w:p>
    <w:p>
      <w:pPr>
        <w:spacing w:after="160"/>
      </w:pPr>
      <w:r>
        <w:rPr>
          <w:b w:val="0"/>
          <w:i w:val="0"/>
        </w:rPr>
        <w:t>He argued the 2 percent target could be judged achieved “as early as this spring” 2026 if a third consecutive year of target-consistent wage growth were confirmed, and that the only way to locate neutral “in the territory of 1 percent and over” is to keep raising rates and observe the response. Post-hike press reports have him advocating movement toward a neutral level of around 2 percent.</w:t>
      </w:r>
    </w:p>
    <w:p>
      <w:pPr>
        <w:ind w:left="576"/>
      </w:pPr>
      <w:r>
        <w:rPr>
          <w:i/>
          <w:color w:val="505A6E"/>
        </w:rPr>
        <w:t>“I believe it is quite possible that, as early as this spring, the price stability target of 2 percent can be judged to have been achieved… my sense is that the neutral interest rate should be at least around 1 percent.”</w:t>
      </w:r>
      <w:r>
        <w:rPr>
          <w:color w:val="808898"/>
          <w:sz w:val="18"/>
        </w:rPr>
        <w:t xml:space="preserve">  — Kanagawa Keizai Doyukai speech, February 13, 2026</w:t>
      </w:r>
    </w:p>
    <w:p>
      <w:pPr>
        <w:pStyle w:val="Heading2"/>
      </w:pPr>
      <w:r>
        <w:t>TAKATA Hajime — Policy Board Member</w:t>
      </w:r>
    </w:p>
    <w:p>
      <w:r>
        <w:rPr>
          <w:b/>
        </w:rPr>
        <w:t xml:space="preserve">Verdict: </w:t>
      </w:r>
      <w:r>
        <w:rPr>
          <w:i/>
        </w:rPr>
        <w:t>Long-standing hawk whose advocacy escalated to a formal proposal for 1.0 percent (score ≈ +1.5 → +2).</w:t>
      </w:r>
    </w:p>
    <w:p>
      <w:pPr>
        <w:spacing w:after="160"/>
      </w:pPr>
      <w:r>
        <w:rPr>
          <w:b w:val="0"/>
          <w:i w:val="0"/>
        </w:rPr>
        <w:t>Takata, the board's original “gear shift” advocate, pressed throughout 2024–25 for continued adjustment despite the tariff pause. At the January 2026 MPM he formally proposed raising the rate to 1.0 percent — a hawkish dissent from the hold — on the grounds that the deflationary norm had waned and that a forward-looking stance was needed given shifting overseas rate environments.</w:t>
      </w:r>
    </w:p>
    <w:p>
      <w:pPr>
        <w:spacing w:after="160"/>
      </w:pPr>
      <w:r>
        <w:rPr>
          <w:b w:val="0"/>
          <w:i w:val="0"/>
        </w:rPr>
        <w:t>In Kyoto (February 2026) he argued the Bank should make a “further gear shift” and communicate on the assumption that the price stability target is “almost achieved,” while acknowledging the neutral rate is hard to pin down — comparing it to “a mountain about to be climbed” that must be approached step by step.</w:t>
      </w:r>
    </w:p>
    <w:p>
      <w:pPr>
        <w:ind w:left="576"/>
      </w:pPr>
      <w:r>
        <w:rPr>
          <w:i/>
          <w:color w:val="505A6E"/>
        </w:rPr>
        <w:t>“At the January 2026 Monetary Policy Meeting, I proposed that the Bank raise the policy interest rate to 1.0 percent as a further gear shift to adjust the degree of monetary accommodation.”</w:t>
      </w:r>
      <w:r>
        <w:rPr>
          <w:color w:val="808898"/>
          <w:sz w:val="18"/>
        </w:rPr>
        <w:t xml:space="preserve">  — Kyoto speech, February 26, 2026</w:t>
      </w:r>
    </w:p>
    <w:p>
      <w:pPr>
        <w:pStyle w:val="Heading2"/>
      </w:pPr>
      <w:r>
        <w:t>HIMINO Ryozo — Deputy Governor</w:t>
      </w:r>
    </w:p>
    <w:p>
      <w:r>
        <w:rPr>
          <w:b/>
        </w:rPr>
        <w:t xml:space="preserve">Verdict: </w:t>
      </w:r>
      <w:r>
        <w:rPr>
          <w:i/>
        </w:rPr>
        <w:t>Measured, consistent hawk-leaning gradualist (score ≈ +0.5 → +1).</w:t>
      </w:r>
    </w:p>
    <w:p>
      <w:pPr>
        <w:spacing w:after="160"/>
      </w:pPr>
      <w:r>
        <w:rPr>
          <w:b w:val="0"/>
          <w:i w:val="0"/>
        </w:rPr>
        <w:t>Himino's January 2025 Hitotsubashi lecture, “An Economy with Positive Interest Rates,” laid the intellectual groundwork for the January 2025 hike and for normalization generally. His March 2026 Wakayama speech worked through natural-rate arithmetic to conclude that policy, while still somewhat accommodative, “should gradually shift to a more neutral stance through moderate policy rate hikes” — and noted, tellingly, that some critics viewed the December 2025 hike as having come too late.</w:t>
      </w:r>
    </w:p>
    <w:p>
      <w:pPr>
        <w:ind w:left="576"/>
      </w:pPr>
      <w:r>
        <w:rPr>
          <w:i/>
          <w:color w:val="505A6E"/>
        </w:rPr>
        <w:t>“While the Bank's policy remains somewhat accommodative, it should gradually shift to a more neutral stance through moderate policy rate hikes.”</w:t>
      </w:r>
      <w:r>
        <w:rPr>
          <w:color w:val="808898"/>
          <w:sz w:val="18"/>
        </w:rPr>
        <w:t xml:space="preserve">  — Wakayama speech, March 2, 2026</w:t>
      </w:r>
    </w:p>
    <w:p>
      <w:pPr>
        <w:pStyle w:val="Heading2"/>
      </w:pPr>
      <w:r>
        <w:t>UCHIDA Shinichi — Deputy Governor</w:t>
      </w:r>
    </w:p>
    <w:p>
      <w:r>
        <w:rPr>
          <w:b/>
        </w:rPr>
        <w:t xml:space="preserve">Verdict: </w:t>
      </w:r>
      <w:r>
        <w:rPr>
          <w:i/>
        </w:rPr>
        <w:t>From dovish crisis-manager to on-consensus institutional voice (score ≈ −1 → 0).</w:t>
      </w:r>
    </w:p>
    <w:p>
      <w:pPr>
        <w:spacing w:after="160"/>
      </w:pPr>
      <w:r>
        <w:rPr>
          <w:b w:val="0"/>
          <w:i w:val="0"/>
        </w:rPr>
        <w:t>Uchida supplied the period's most dovish single intervention: after the August 5, 2024 market crash, he pledged in Hakodate that the Bank would not raise rates while markets were unstable, halting the post-July-hike turmoil. From 2025 his public remarks moved to the standard guidance — in Kochi (July 2025) he reaffirmed accommodative conditions and conditional future hikes.</w:t>
      </w:r>
    </w:p>
    <w:p>
      <w:pPr>
        <w:spacing w:after="160"/>
      </w:pPr>
      <w:r>
        <w:rPr>
          <w:b w:val="0"/>
          <w:i w:val="0"/>
        </w:rPr>
        <w:t>He gave no major policy speech in the first half of 2026 but fronted the June 2026 post-meeting press conference during Governor Ueda's hospitalization, underscoring his role as institutional continuity rather than a directional voice.</w:t>
      </w:r>
    </w:p>
    <w:p>
      <w:pPr>
        <w:ind w:left="576"/>
      </w:pPr>
      <w:r>
        <w:rPr>
          <w:i/>
          <w:color w:val="505A6E"/>
        </w:rPr>
        <w:t>“Given that real interest rates are at significantly low levels, if the baseline scenario… is realized, the Bank will continue to raise the policy interest rate.”</w:t>
      </w:r>
      <w:r>
        <w:rPr>
          <w:color w:val="808898"/>
          <w:sz w:val="18"/>
        </w:rPr>
        <w:t xml:space="preserve">  — Kochi speech, July 23, 2025</w:t>
      </w:r>
    </w:p>
    <w:p>
      <w:pPr>
        <w:pStyle w:val="Heading2"/>
      </w:pPr>
      <w:r>
        <w:t>NOGUCHI Asahi — Policy Board Member</w:t>
      </w:r>
    </w:p>
    <w:p>
      <w:r>
        <w:rPr>
          <w:b/>
        </w:rPr>
        <w:t xml:space="preserve">Verdict: </w:t>
      </w:r>
      <w:r>
        <w:rPr>
          <w:i/>
        </w:rPr>
        <w:t>The most significant conversion: reflationist dove to reluctant gradualist (score ≈ −1.5 → −0.5).</w:t>
      </w:r>
    </w:p>
    <w:p>
      <w:pPr>
        <w:spacing w:after="160"/>
      </w:pPr>
      <w:r>
        <w:rPr>
          <w:b w:val="0"/>
          <w:i w:val="0"/>
        </w:rPr>
        <w:t>Noguchi entered the period as the board's leading dove, stressing that above-target inflation was cost-push and transitory and warning that hasty hikes could rob wage growth of momentum. That caution persists — his November 2025 Oita speech still warns against moving “too fast.”</w:t>
      </w:r>
    </w:p>
    <w:p>
      <w:pPr>
        <w:spacing w:after="160"/>
      </w:pPr>
      <w:r>
        <w:rPr>
          <w:b w:val="0"/>
          <w:i w:val="0"/>
        </w:rPr>
        <w:t>What changed is the other half of the argument: he now explicitly warns that adjusting “too slow” risks destabilizing prices via the exchange rate and asset prices, and endorses a “measured, step-by-step” path of incremental hikes toward neutral, with target achievement expected between late fiscal 2026 and fiscal 2027. For the board's dovish wing, this is a substantive concession that normalization should proceed.</w:t>
      </w:r>
    </w:p>
    <w:p>
      <w:pPr>
        <w:ind w:left="576"/>
      </w:pPr>
      <w:r>
        <w:rPr>
          <w:i/>
          <w:color w:val="505A6E"/>
        </w:rPr>
        <w:t>“The most realistic approach to actual policy conduct is… to conduct policy interest rate hikes incrementally over time… the problem with the pace of policy adjustment being too slow is that it increases the risk of destabilizing economic activity and prices.”</w:t>
      </w:r>
      <w:r>
        <w:rPr>
          <w:color w:val="808898"/>
          <w:sz w:val="18"/>
        </w:rPr>
        <w:t xml:space="preserve">  — Oita speech, November 27, 2025</w:t>
      </w:r>
    </w:p>
    <w:p>
      <w:pPr>
        <w:pStyle w:val="Heading2"/>
      </w:pPr>
      <w:r>
        <w:t>NAKAGAWA Junko — Policy Board Member (term ended June 2026)</w:t>
      </w:r>
    </w:p>
    <w:p>
      <w:r>
        <w:rPr>
          <w:b/>
        </w:rPr>
        <w:t xml:space="preserve">Verdict: </w:t>
      </w:r>
      <w:r>
        <w:rPr>
          <w:i/>
        </w:rPr>
        <w:t>Centrist throughout, with a late hawkish tilt (score ≈ 0 → +0.5).</w:t>
      </w:r>
    </w:p>
    <w:p>
      <w:pPr>
        <w:spacing w:after="160"/>
      </w:pPr>
      <w:r>
        <w:rPr>
          <w:b w:val="0"/>
          <w:i w:val="0"/>
        </w:rPr>
        <w:t>Nakagawa's speeches (September 2024 Akita through November 2025 Okayama) tracked the board consensus closely: balanced risk lists, standard conditional guidance, no personal deviation. Press reports indicate she surprised observers by calling for a rate hike at the April 2026 meeting — a hawkish shift at the end of her term. She left the board at end-June 2026, succeeded by Sato.</w:t>
      </w:r>
    </w:p>
    <w:p>
      <w:pPr>
        <w:ind w:left="576"/>
      </w:pPr>
      <w:r>
        <w:rPr>
          <w:i/>
          <w:color w:val="505A6E"/>
        </w:rPr>
        <w:t>“The Bank will continue to raise the policy interest rate and adjust the degree of monetary accommodation in response to improvement in economic and price developments.”</w:t>
      </w:r>
      <w:r>
        <w:rPr>
          <w:color w:val="808898"/>
          <w:sz w:val="18"/>
        </w:rPr>
        <w:t xml:space="preserve">  — Okayama speech, November 10, 2025</w:t>
      </w:r>
    </w:p>
    <w:p>
      <w:pPr>
        <w:pStyle w:val="Heading2"/>
      </w:pPr>
      <w:r>
        <w:t>KOEDA Junko — Policy Board Member (from April 2025)</w:t>
      </w:r>
    </w:p>
    <w:p>
      <w:r>
        <w:rPr>
          <w:b/>
        </w:rPr>
        <w:t xml:space="preserve">Verdict: </w:t>
      </w:r>
      <w:r>
        <w:rPr>
          <w:i/>
        </w:rPr>
        <w:t>New member leaning hawkish from arrival; replaced the dovish Adachi (score ≈ +1).</w:t>
      </w:r>
    </w:p>
    <w:p>
      <w:pPr>
        <w:spacing w:after="160"/>
      </w:pPr>
      <w:r>
        <w:rPr>
          <w:b w:val="0"/>
          <w:i w:val="0"/>
        </w:rPr>
        <w:t>An academic economist, Koeda frames policy in terms of underlying inflation and normalization. In Niigata (November 2025) she assessed underlying inflation at “about 2 percent,” called real rates significantly negative, and argued the Bank “needs to proceed with interest rate normalization… to avoid creating unintended distortions.” Her May 2026 Fukuoka speech continued in the same vein after the April hold.</w:t>
      </w:r>
    </w:p>
    <w:p>
      <w:pPr>
        <w:ind w:left="576"/>
      </w:pPr>
      <w:r>
        <w:rPr>
          <w:i/>
          <w:color w:val="505A6E"/>
        </w:rPr>
        <w:t>“Given that real interest rates are currently at significantly low levels, I believe that the Bank needs to proceed with interest rate normalization… I believe that underlying inflation is about 2 percent.”</w:t>
      </w:r>
      <w:r>
        <w:rPr>
          <w:color w:val="808898"/>
          <w:sz w:val="18"/>
        </w:rPr>
        <w:t xml:space="preserve">  — Niigata speech, November 20, 2025</w:t>
      </w:r>
    </w:p>
    <w:p>
      <w:pPr>
        <w:pStyle w:val="Heading2"/>
      </w:pPr>
      <w:r>
        <w:t>MASU Kazuyuki — Policy Board Member (from mid-2025)</w:t>
      </w:r>
    </w:p>
    <w:p>
      <w:r>
        <w:rPr>
          <w:b/>
        </w:rPr>
        <w:t xml:space="preserve">Verdict: </w:t>
      </w:r>
      <w:r>
        <w:rPr>
          <w:i/>
        </w:rPr>
        <w:t>Cautious normalizer; replaced the strongly dovish Nakamura (score ≈ +0.5).</w:t>
      </w:r>
    </w:p>
    <w:p>
      <w:pPr>
        <w:spacing w:after="160"/>
      </w:pPr>
      <w:r>
        <w:rPr>
          <w:b w:val="0"/>
          <w:i w:val="0"/>
        </w:rPr>
        <w:t>A former trading-house CFO, Masu backs completing normalization while stressing care. In Ehime (February 2026) he said he was “convinced that continuing with further policy interest rate hikes will be needed to complete the normalization,” while insisting the Bank “proceed cautiously” so as not to disrupt the nascent wage-price cycle. Net effect of his appointment: a dovish seat became mildly hawkish.</w:t>
      </w:r>
    </w:p>
    <w:p>
      <w:pPr>
        <w:ind w:left="576"/>
      </w:pPr>
      <w:r>
        <w:rPr>
          <w:i/>
          <w:color w:val="505A6E"/>
        </w:rPr>
        <w:t>“I am convinced that continuing with further policy interest rate hikes will be needed to complete the normalization of monetary policy in Japan… The Bank will therefore proceed cautiously with rate hikes.”</w:t>
      </w:r>
      <w:r>
        <w:rPr>
          <w:color w:val="808898"/>
          <w:sz w:val="18"/>
        </w:rPr>
        <w:t xml:space="preserve">  — Ehime speech, February 6, 2026</w:t>
      </w:r>
    </w:p>
    <w:p>
      <w:pPr>
        <w:pStyle w:val="Heading2"/>
      </w:pPr>
      <w:r>
        <w:t>ASADA Toichiro — Policy Board Member (2026)</w:t>
      </w:r>
    </w:p>
    <w:p>
      <w:r>
        <w:rPr>
          <w:b/>
        </w:rPr>
        <w:t xml:space="preserve">Verdict: </w:t>
      </w:r>
      <w:r>
        <w:rPr>
          <w:i/>
        </w:rPr>
        <w:t>The new dovish pole: sole dissenter against the June 2026 hike (score ≈ −1.5).</w:t>
      </w:r>
    </w:p>
    <w:p>
      <w:pPr>
        <w:spacing w:after="160"/>
      </w:pPr>
      <w:r>
        <w:rPr>
          <w:b w:val="0"/>
          <w:i w:val="0"/>
        </w:rPr>
        <w:t>Prime Minister Takaichi's first BOJ appointment and a known reflationist, Asada dissented at the June 16, 2026 meeting — his second — preferring to hold at 0.75 percent, citing downside risks to production and employment. Market commentary noted the dovish dissent count could grow as further Takaichi appointments arrive, making him the key figure to watch for a rebuilt dovish bloc.</w:t>
      </w:r>
    </w:p>
    <w:p>
      <w:pPr>
        <w:pStyle w:val="Heading2"/>
      </w:pPr>
      <w:r>
        <w:t>Departed members: NAKAMURA Toyoaki and ADACHI Seiji — Terms ended June 2025 / March 2025</w:t>
      </w:r>
    </w:p>
    <w:p>
      <w:r>
        <w:rPr>
          <w:b/>
        </w:rPr>
        <w:t xml:space="preserve">Verdict: </w:t>
      </w:r>
      <w:r>
        <w:rPr>
          <w:i/>
        </w:rPr>
        <w:t>Their exits mechanically shifted the board hawkish (scores ≈ −2 and −1.5).</w:t>
      </w:r>
    </w:p>
    <w:p>
      <w:pPr>
        <w:spacing w:after="160"/>
      </w:pPr>
      <w:r>
        <w:rPr>
          <w:b w:val="0"/>
          <w:i w:val="0"/>
        </w:rPr>
        <w:t>Nakamura was the board's most consistent dove, repeatedly warning against premature tightening and dissenting on hikes; his final speeches (December 2024 Hiroshima, May 2025 Fukuoka) maintained that stance. Adachi urged patience on similar grounds through his October 2024 Kagawa speech. The arrival of Koeda and Masu in their seats removed roughly two reliably dovish votes.</w:t>
      </w:r>
    </w:p>
    <w:p>
      <w:pPr>
        <w:pStyle w:val="Heading1"/>
      </w:pPr>
      <w:r>
        <w:t>What Changed, and What to Watch</w:t>
      </w:r>
    </w:p>
    <w:p>
      <w:pPr>
        <w:spacing w:after="160"/>
      </w:pPr>
      <w:r>
        <w:rPr>
          <w:b w:val="0"/>
          <w:i w:val="0"/>
        </w:rPr>
        <w:t>Composition did much of the work. Between March 2025 and mid-2026 the board lost its two anchoring doves and gained two normalizers, while the remaining dove (Noguchi) accepted the case for gradual hikes. That left Tamura and Takata free to pull the debate toward a neutral rate of 1 percent or higher, with Takata's January 2026 proposal for 1.0 percent marking the first formal hawkish dissent of the cycle. The December 2025 and June 2026 hikes followed the hawks' direction of travel, with yen weakness (prompting large FX intervention) and 45-plus months of above-2-percent inflation reinforcing the case.</w:t>
      </w:r>
    </w:p>
    <w:p>
      <w:pPr>
        <w:spacing w:after="160"/>
      </w:pPr>
      <w:r>
        <w:rPr>
          <w:b w:val="0"/>
          <w:i w:val="0"/>
        </w:rPr>
        <w:t>The offsetting force is political. The Takaichi government's first appointment, Asada, dissented dovishly at his second meeting, and Nakagawa's centrist seat passed to Sato with an initially tame reported view on inflation. If subsequent appointments follow the same pattern, the hawk-dove balance could begin to swing back even as the policy rate approaches the lower bound of neutral-rate estimates (roughly 1.0–2.5 percent, per Masu's February 2026 exposition).</w:t>
      </w:r>
    </w:p>
    <w:p>
      <w:pPr>
        <w:spacing w:after="160"/>
      </w:pPr>
      <w:r>
        <w:rPr>
          <w:b w:val="0"/>
          <w:i w:val="0"/>
        </w:rPr>
        <w:t>Watch items for H2 2026: whether Tamura and Takata push for a formal declaration that the target has been achieved; whether Ueda returns and retains his firmer tone; how quickly the dovish bloc grows via appointments; and the June 2026 decision's follow-through on the JGB purchase plan from April 2027.</w:t>
      </w:r>
    </w:p>
    <w:p>
      <w:pPr>
        <w:pStyle w:val="Heading1"/>
      </w:pPr>
      <w:r>
        <w:t>Tone Scorecard Summary</w:t>
      </w:r>
    </w:p>
    <w:p>
      <w:pPr>
        <w:spacing w:after="160"/>
      </w:pPr>
      <w:r>
        <w:rPr>
          <w:b w:val="0"/>
          <w:i w:val="0"/>
          <w:color w:val="808898"/>
          <w:sz w:val="18"/>
        </w:rPr>
        <w:t>Scores are qualitative judgments on a −2 (strongly dovish) to +2 (strongly hawkish) scale, assigned per half-year from each speaker's own speeches, proposals, and dissents. Blank = not on the board or no significant communication.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Speaker</w:t>
            </w:r>
          </w:p>
        </w:tc>
        <w:tc>
          <w:tcPr>
            <w:tcW w:type="dxa" w:w="1440"/>
          </w:tcPr>
          <w:p>
            <w:r>
              <w:rPr>
                <w:b/>
              </w:rPr>
              <w:t>H2 2024</w:t>
            </w:r>
          </w:p>
        </w:tc>
        <w:tc>
          <w:tcPr>
            <w:tcW w:type="dxa" w:w="1440"/>
          </w:tcPr>
          <w:p>
            <w:r>
              <w:rPr>
                <w:b/>
              </w:rPr>
              <w:t>H1 2025</w:t>
            </w:r>
          </w:p>
        </w:tc>
        <w:tc>
          <w:tcPr>
            <w:tcW w:type="dxa" w:w="1440"/>
          </w:tcPr>
          <w:p>
            <w:r>
              <w:rPr>
                <w:b/>
              </w:rPr>
              <w:t>H2 2025</w:t>
            </w:r>
          </w:p>
        </w:tc>
        <w:tc>
          <w:tcPr>
            <w:tcW w:type="dxa" w:w="1440"/>
          </w:tcPr>
          <w:p>
            <w:r>
              <w:rPr>
                <w:b/>
              </w:rPr>
              <w:t>H1 2026</w:t>
            </w:r>
          </w:p>
        </w:tc>
        <w:tc>
          <w:tcPr>
            <w:tcW w:type="dxa" w:w="1440"/>
          </w:tcPr>
          <w:p>
            <w:r>
              <w:rPr>
                <w:b/>
              </w:rPr>
              <w:t>Trajectory</w:t>
            </w:r>
          </w:p>
        </w:tc>
      </w:tr>
      <w:tr>
        <w:tc>
          <w:tcPr>
            <w:tcW w:type="dxa" w:w="1440"/>
          </w:tcPr>
          <w:p>
            <w:r>
              <w:t>Ueda (Governor)</w:t>
            </w:r>
          </w:p>
        </w:tc>
        <w:tc>
          <w:tcPr>
            <w:tcW w:type="dxa" w:w="1440"/>
          </w:tcPr>
          <w:p>
            <w:r>
              <w:t>+0.5</w:t>
            </w:r>
          </w:p>
        </w:tc>
        <w:tc>
          <w:tcPr>
            <w:tcW w:type="dxa" w:w="1440"/>
          </w:tcPr>
          <w:p>
            <w:r>
              <w:t>+0.5</w:t>
            </w:r>
          </w:p>
        </w:tc>
        <w:tc>
          <w:tcPr>
            <w:tcW w:type="dxa" w:w="1440"/>
          </w:tcPr>
          <w:p>
            <w:r>
              <w:t>+1.0</w:t>
            </w:r>
          </w:p>
        </w:tc>
        <w:tc>
          <w:tcPr>
            <w:tcW w:type="dxa" w:w="1440"/>
          </w:tcPr>
          <w:p>
            <w:r>
              <w:t>+1.0</w:t>
            </w:r>
          </w:p>
        </w:tc>
        <w:tc>
          <w:tcPr>
            <w:tcW w:type="dxa" w:w="1440"/>
          </w:tcPr>
          <w:p>
            <w:r>
              <w:t>Hawkish drift</w:t>
            </w:r>
          </w:p>
        </w:tc>
      </w:tr>
      <w:tr>
        <w:tc>
          <w:tcPr>
            <w:tcW w:type="dxa" w:w="1440"/>
          </w:tcPr>
          <w:p>
            <w:r>
              <w:t>Himino (DG)</w:t>
            </w:r>
          </w:p>
        </w:tc>
        <w:tc>
          <w:tcPr>
            <w:tcW w:type="dxa" w:w="1440"/>
          </w:tcPr>
          <w:p>
            <w:r>
              <w:t>+0.5</w:t>
            </w:r>
          </w:p>
        </w:tc>
        <w:tc>
          <w:tcPr>
            <w:tcW w:type="dxa" w:w="1440"/>
          </w:tcPr>
          <w:p>
            <w:r>
              <w:t>+1.0</w:t>
            </w:r>
          </w:p>
        </w:tc>
        <w:tc>
          <w:tcPr>
            <w:tcW w:type="dxa" w:w="1440"/>
          </w:tcPr>
          <w:p>
            <w:r>
              <w:t>+0.5</w:t>
            </w:r>
          </w:p>
        </w:tc>
        <w:tc>
          <w:tcPr>
            <w:tcW w:type="dxa" w:w="1440"/>
          </w:tcPr>
          <w:p>
            <w:r>
              <w:t>+1.0</w:t>
            </w:r>
          </w:p>
        </w:tc>
        <w:tc>
          <w:tcPr>
            <w:tcW w:type="dxa" w:w="1440"/>
          </w:tcPr>
          <w:p>
            <w:r>
              <w:t>Steady, hawk-leaning</w:t>
            </w:r>
          </w:p>
        </w:tc>
      </w:tr>
      <w:tr>
        <w:tc>
          <w:tcPr>
            <w:tcW w:type="dxa" w:w="1440"/>
          </w:tcPr>
          <w:p>
            <w:r>
              <w:t>Uchida (DG)</w:t>
            </w:r>
          </w:p>
        </w:tc>
        <w:tc>
          <w:tcPr>
            <w:tcW w:type="dxa" w:w="1440"/>
          </w:tcPr>
          <w:p>
            <w:r>
              <w:t>−1.0</w:t>
            </w:r>
          </w:p>
        </w:tc>
        <w:tc>
          <w:tcPr>
            <w:tcW w:type="dxa" w:w="1440"/>
          </w:tcPr>
          <w:p>
            <w:r>
              <w:t>0</w:t>
            </w:r>
          </w:p>
        </w:tc>
        <w:tc>
          <w:tcPr>
            <w:tcW w:type="dxa" w:w="1440"/>
          </w:tcPr>
          <w:p>
            <w:r>
              <w:t>0</w:t>
            </w:r>
          </w:p>
        </w:tc>
        <w:tc>
          <w:tcPr>
            <w:tcW w:type="dxa" w:w="1440"/>
          </w:tcPr>
          <w:p>
            <w:r>
              <w:t>—</w:t>
            </w:r>
          </w:p>
        </w:tc>
        <w:tc>
          <w:tcPr>
            <w:tcW w:type="dxa" w:w="1440"/>
          </w:tcPr>
          <w:p>
            <w:r>
              <w:t>Dove → neutral</w:t>
            </w:r>
          </w:p>
        </w:tc>
      </w:tr>
      <w:tr>
        <w:tc>
          <w:tcPr>
            <w:tcW w:type="dxa" w:w="1440"/>
          </w:tcPr>
          <w:p>
            <w:r>
              <w:t>Tamura</w:t>
            </w:r>
          </w:p>
        </w:tc>
        <w:tc>
          <w:tcPr>
            <w:tcW w:type="dxa" w:w="1440"/>
          </w:tcPr>
          <w:p>
            <w:r>
              <w:t>+2.0</w:t>
            </w:r>
          </w:p>
        </w:tc>
        <w:tc>
          <w:tcPr>
            <w:tcW w:type="dxa" w:w="1440"/>
          </w:tcPr>
          <w:p>
            <w:r>
              <w:t>+2.0</w:t>
            </w:r>
          </w:p>
        </w:tc>
        <w:tc>
          <w:tcPr>
            <w:tcW w:type="dxa" w:w="1440"/>
          </w:tcPr>
          <w:p>
            <w:r>
              <w:t>+1.5</w:t>
            </w:r>
          </w:p>
        </w:tc>
        <w:tc>
          <w:tcPr>
            <w:tcW w:type="dxa" w:w="1440"/>
          </w:tcPr>
          <w:p>
            <w:r>
              <w:t>+2.0</w:t>
            </w:r>
          </w:p>
        </w:tc>
        <w:tc>
          <w:tcPr>
            <w:tcW w:type="dxa" w:w="1440"/>
          </w:tcPr>
          <w:p>
            <w:r>
              <w:t>Strong hawk</w:t>
            </w:r>
          </w:p>
        </w:tc>
      </w:tr>
      <w:tr>
        <w:tc>
          <w:tcPr>
            <w:tcW w:type="dxa" w:w="1440"/>
          </w:tcPr>
          <w:p>
            <w:r>
              <w:t>Takata</w:t>
            </w:r>
          </w:p>
        </w:tc>
        <w:tc>
          <w:tcPr>
            <w:tcW w:type="dxa" w:w="1440"/>
          </w:tcPr>
          <w:p>
            <w:r>
              <w:t>+1.5</w:t>
            </w:r>
          </w:p>
        </w:tc>
        <w:tc>
          <w:tcPr>
            <w:tcW w:type="dxa" w:w="1440"/>
          </w:tcPr>
          <w:p>
            <w:r>
              <w:t>+1.5</w:t>
            </w:r>
          </w:p>
        </w:tc>
        <w:tc>
          <w:tcPr>
            <w:tcW w:type="dxa" w:w="1440"/>
          </w:tcPr>
          <w:p>
            <w:r>
              <w:t>+1.5</w:t>
            </w:r>
          </w:p>
        </w:tc>
        <w:tc>
          <w:tcPr>
            <w:tcW w:type="dxa" w:w="1440"/>
          </w:tcPr>
          <w:p>
            <w:r>
              <w:t>+2.0</w:t>
            </w:r>
          </w:p>
        </w:tc>
        <w:tc>
          <w:tcPr>
            <w:tcW w:type="dxa" w:w="1440"/>
          </w:tcPr>
          <w:p>
            <w:r>
              <w:t>Escalating hawk</w:t>
            </w:r>
          </w:p>
        </w:tc>
      </w:tr>
      <w:tr>
        <w:tc>
          <w:tcPr>
            <w:tcW w:type="dxa" w:w="1440"/>
          </w:tcPr>
          <w:p>
            <w:r>
              <w:t>Nakagawa</w:t>
            </w:r>
          </w:p>
        </w:tc>
        <w:tc>
          <w:tcPr>
            <w:tcW w:type="dxa" w:w="1440"/>
          </w:tcPr>
          <w:p>
            <w:r>
              <w:t>0</w:t>
            </w:r>
          </w:p>
        </w:tc>
        <w:tc>
          <w:tcPr>
            <w:tcW w:type="dxa" w:w="1440"/>
          </w:tcPr>
          <w:p>
            <w:r>
              <w:t>0</w:t>
            </w:r>
          </w:p>
        </w:tc>
        <w:tc>
          <w:tcPr>
            <w:tcW w:type="dxa" w:w="1440"/>
          </w:tcPr>
          <w:p>
            <w:r>
              <w:t>0</w:t>
            </w:r>
          </w:p>
        </w:tc>
        <w:tc>
          <w:tcPr>
            <w:tcW w:type="dxa" w:w="1440"/>
          </w:tcPr>
          <w:p>
            <w:r>
              <w:t>+0.5</w:t>
            </w:r>
          </w:p>
        </w:tc>
        <w:tc>
          <w:tcPr>
            <w:tcW w:type="dxa" w:w="1440"/>
          </w:tcPr>
          <w:p>
            <w:r>
              <w:t>Centrist, late hawk tilt</w:t>
            </w:r>
          </w:p>
        </w:tc>
      </w:tr>
      <w:tr>
        <w:tc>
          <w:tcPr>
            <w:tcW w:type="dxa" w:w="1440"/>
          </w:tcPr>
          <w:p>
            <w:r>
              <w:t>Noguchi</w:t>
            </w:r>
          </w:p>
        </w:tc>
        <w:tc>
          <w:tcPr>
            <w:tcW w:type="dxa" w:w="1440"/>
          </w:tcPr>
          <w:p>
            <w:r>
              <w:t>−1.5</w:t>
            </w:r>
          </w:p>
        </w:tc>
        <w:tc>
          <w:tcPr>
            <w:tcW w:type="dxa" w:w="1440"/>
          </w:tcPr>
          <w:p>
            <w:r>
              <w:t>−1.0</w:t>
            </w:r>
          </w:p>
        </w:tc>
        <w:tc>
          <w:tcPr>
            <w:tcW w:type="dxa" w:w="1440"/>
          </w:tcPr>
          <w:p>
            <w:r>
              <w:t>−0.5</w:t>
            </w:r>
          </w:p>
        </w:tc>
        <w:tc>
          <w:tcPr>
            <w:tcW w:type="dxa" w:w="1440"/>
          </w:tcPr>
          <w:p>
            <w:r>
              <w:t>—</w:t>
            </w:r>
          </w:p>
        </w:tc>
        <w:tc>
          <w:tcPr>
            <w:tcW w:type="dxa" w:w="1440"/>
          </w:tcPr>
          <w:p>
            <w:r>
              <w:t>Softening dove</w:t>
            </w:r>
          </w:p>
        </w:tc>
      </w:tr>
      <w:tr>
        <w:tc>
          <w:tcPr>
            <w:tcW w:type="dxa" w:w="1440"/>
          </w:tcPr>
          <w:p>
            <w:r>
              <w:t>Koeda</w:t>
            </w:r>
          </w:p>
        </w:tc>
        <w:tc>
          <w:tcPr>
            <w:tcW w:type="dxa" w:w="1440"/>
          </w:tcPr>
          <w:p>
            <w:r>
              <w:t>—</w:t>
            </w:r>
          </w:p>
        </w:tc>
        <w:tc>
          <w:tcPr>
            <w:tcW w:type="dxa" w:w="1440"/>
          </w:tcPr>
          <w:p>
            <w:r>
              <w:t>—</w:t>
            </w:r>
          </w:p>
        </w:tc>
        <w:tc>
          <w:tcPr>
            <w:tcW w:type="dxa" w:w="1440"/>
          </w:tcPr>
          <w:p>
            <w:r>
              <w:t>+1.0</w:t>
            </w:r>
          </w:p>
        </w:tc>
        <w:tc>
          <w:tcPr>
            <w:tcW w:type="dxa" w:w="1440"/>
          </w:tcPr>
          <w:p>
            <w:r>
              <w:t>+1.0</w:t>
            </w:r>
          </w:p>
        </w:tc>
        <w:tc>
          <w:tcPr>
            <w:tcW w:type="dxa" w:w="1440"/>
          </w:tcPr>
          <w:p>
            <w:r>
              <w:t>New normalizer</w:t>
            </w:r>
          </w:p>
        </w:tc>
      </w:tr>
      <w:tr>
        <w:tc>
          <w:tcPr>
            <w:tcW w:type="dxa" w:w="1440"/>
          </w:tcPr>
          <w:p>
            <w:r>
              <w:t>Masu</w:t>
            </w:r>
          </w:p>
        </w:tc>
        <w:tc>
          <w:tcPr>
            <w:tcW w:type="dxa" w:w="1440"/>
          </w:tcPr>
          <w:p>
            <w:r>
              <w:t>—</w:t>
            </w:r>
          </w:p>
        </w:tc>
        <w:tc>
          <w:tcPr>
            <w:tcW w:type="dxa" w:w="1440"/>
          </w:tcPr>
          <w:p>
            <w:r>
              <w:t>—</w:t>
            </w:r>
          </w:p>
        </w:tc>
        <w:tc>
          <w:tcPr>
            <w:tcW w:type="dxa" w:w="1440"/>
          </w:tcPr>
          <w:p>
            <w:r>
              <w:t>—</w:t>
            </w:r>
          </w:p>
        </w:tc>
        <w:tc>
          <w:tcPr>
            <w:tcW w:type="dxa" w:w="1440"/>
          </w:tcPr>
          <w:p>
            <w:r>
              <w:t>+0.5</w:t>
            </w:r>
          </w:p>
        </w:tc>
        <w:tc>
          <w:tcPr>
            <w:tcW w:type="dxa" w:w="1440"/>
          </w:tcPr>
          <w:p>
            <w:r>
              <w:t>Cautious normalizer</w:t>
            </w:r>
          </w:p>
        </w:tc>
      </w:tr>
      <w:tr>
        <w:tc>
          <w:tcPr>
            <w:tcW w:type="dxa" w:w="1440"/>
          </w:tcPr>
          <w:p>
            <w:r>
              <w:t>Asada</w:t>
            </w:r>
          </w:p>
        </w:tc>
        <w:tc>
          <w:tcPr>
            <w:tcW w:type="dxa" w:w="1440"/>
          </w:tcPr>
          <w:p>
            <w:r>
              <w:t>—</w:t>
            </w:r>
          </w:p>
        </w:tc>
        <w:tc>
          <w:tcPr>
            <w:tcW w:type="dxa" w:w="1440"/>
          </w:tcPr>
          <w:p>
            <w:r>
              <w:t>—</w:t>
            </w:r>
          </w:p>
        </w:tc>
        <w:tc>
          <w:tcPr>
            <w:tcW w:type="dxa" w:w="1440"/>
          </w:tcPr>
          <w:p>
            <w:r>
              <w:t>—</w:t>
            </w:r>
          </w:p>
        </w:tc>
        <w:tc>
          <w:tcPr>
            <w:tcW w:type="dxa" w:w="1440"/>
          </w:tcPr>
          <w:p>
            <w:r>
              <w:t>−1.5</w:t>
            </w:r>
          </w:p>
        </w:tc>
        <w:tc>
          <w:tcPr>
            <w:tcW w:type="dxa" w:w="1440"/>
          </w:tcPr>
          <w:p>
            <w:r>
              <w:t>New dove (dissenter)</w:t>
            </w:r>
          </w:p>
        </w:tc>
      </w:tr>
      <w:tr>
        <w:tc>
          <w:tcPr>
            <w:tcW w:type="dxa" w:w="1440"/>
          </w:tcPr>
          <w:p>
            <w:r>
              <w:t>Nakamura (dep.)</w:t>
            </w:r>
          </w:p>
        </w:tc>
        <w:tc>
          <w:tcPr>
            <w:tcW w:type="dxa" w:w="1440"/>
          </w:tcPr>
          <w:p>
            <w:r>
              <w:t>−2.0</w:t>
            </w:r>
          </w:p>
        </w:tc>
        <w:tc>
          <w:tcPr>
            <w:tcW w:type="dxa" w:w="1440"/>
          </w:tcPr>
          <w:p>
            <w:r>
              <w:t>−2.0</w:t>
            </w:r>
          </w:p>
        </w:tc>
        <w:tc>
          <w:tcPr>
            <w:tcW w:type="dxa" w:w="1440"/>
          </w:tcPr>
          <w:p>
            <w:r>
              <w:t>—</w:t>
            </w:r>
          </w:p>
        </w:tc>
        <w:tc>
          <w:tcPr>
            <w:tcW w:type="dxa" w:w="1440"/>
          </w:tcPr>
          <w:p>
            <w:r>
              <w:t>—</w:t>
            </w:r>
          </w:p>
        </w:tc>
        <w:tc>
          <w:tcPr>
            <w:tcW w:type="dxa" w:w="1440"/>
          </w:tcPr>
          <w:p>
            <w:r>
              <w:t>Departed dove</w:t>
            </w:r>
          </w:p>
        </w:tc>
      </w:tr>
      <w:tr>
        <w:tc>
          <w:tcPr>
            <w:tcW w:type="dxa" w:w="1440"/>
          </w:tcPr>
          <w:p>
            <w:r>
              <w:t>Adachi (dep.)</w:t>
            </w:r>
          </w:p>
        </w:tc>
        <w:tc>
          <w:tcPr>
            <w:tcW w:type="dxa" w:w="1440"/>
          </w:tcPr>
          <w:p>
            <w:r>
              <w:t>−1.5</w:t>
            </w:r>
          </w:p>
        </w:tc>
        <w:tc>
          <w:tcPr>
            <w:tcW w:type="dxa" w:w="1440"/>
          </w:tcPr>
          <w:p>
            <w:r>
              <w:t>—</w:t>
            </w:r>
          </w:p>
        </w:tc>
        <w:tc>
          <w:tcPr>
            <w:tcW w:type="dxa" w:w="1440"/>
          </w:tcPr>
          <w:p>
            <w:r>
              <w:t>—</w:t>
            </w:r>
          </w:p>
        </w:tc>
        <w:tc>
          <w:tcPr>
            <w:tcW w:type="dxa" w:w="1440"/>
          </w:tcPr>
          <w:p>
            <w:r>
              <w:t>—</w:t>
            </w:r>
          </w:p>
        </w:tc>
        <w:tc>
          <w:tcPr>
            <w:tcW w:type="dxa" w:w="1440"/>
          </w:tcPr>
          <w:p>
            <w:r>
              <w:t>Departed dove</w:t>
            </w:r>
          </w:p>
        </w:tc>
      </w:tr>
    </w:tbl>
    <w:p>
      <w:pPr>
        <w:pStyle w:val="Heading1"/>
      </w:pPr>
      <w:r>
        <w:t>Primary Sources</w:t>
      </w:r>
    </w:p>
    <w:p>
      <w:pPr>
        <w:pStyle w:val="ListBullet"/>
        <w:spacing w:after="60"/>
      </w:pPr>
      <w:r>
        <w:t>BOJ Speeches and Statements listings 2024–2026: boj.or.jp/en/about/press/koen_2024 · koen_2025 · koen_2026</w:t>
      </w:r>
    </w:p>
    <w:p>
      <w:pPr>
        <w:pStyle w:val="ListBullet"/>
        <w:spacing w:after="60"/>
      </w:pPr>
      <w:r>
        <w:t>Ueda, “Toward the Achievement of the Price Stability Target Accompanied by Wage Increases,” Keidanren, Dec 25, 2025 (ko251225a)</w:t>
      </w:r>
    </w:p>
    <w:p>
      <w:pPr>
        <w:pStyle w:val="ListBullet"/>
        <w:spacing w:after="60"/>
      </w:pPr>
      <w:r>
        <w:t>Tamura, Kanagawa Keizai Doyukai, Feb 13, 2026 (ko260213a); Takata, Kyoto, Feb 26, 2026 (ko260226a)</w:t>
      </w:r>
    </w:p>
    <w:p>
      <w:pPr>
        <w:pStyle w:val="ListBullet"/>
        <w:spacing w:after="60"/>
      </w:pPr>
      <w:r>
        <w:t>Noguchi, Oita, Nov 27, 2025 (ko251127a); Nakagawa, Okayama, Nov 10, 2025 (ko251110a); Koeda, Niigata, Nov 20, 2025 (ko251120a)</w:t>
      </w:r>
    </w:p>
    <w:p>
      <w:pPr>
        <w:pStyle w:val="ListBullet"/>
        <w:spacing w:after="60"/>
      </w:pPr>
      <w:r>
        <w:t>Masu, Ehime, Feb 6, 2026 (ko260206a); Himino, Wakayama, Mar 2, 2026 (ko260302a); Uchida, Kochi, Jul 23, 2025 (ko250723a)</w:t>
      </w:r>
    </w:p>
    <w:p>
      <w:pPr>
        <w:pStyle w:val="ListBullet"/>
        <w:spacing w:after="60"/>
      </w:pPr>
      <w:r>
        <w:t>BOJ, Change in the Guideline for Money Market Operations, June 16, 2026 (k260616a.pdf)</w:t>
      </w:r>
    </w:p>
    <w:p>
      <w:pPr>
        <w:pStyle w:val="ListBullet"/>
        <w:spacing w:after="60"/>
      </w:pPr>
      <w:r>
        <w:t>CNBC, Dec 19, 2025 and Jun 16, 2026; The Japan Times, Jun 11 and Jun 22, 2026; Bloomberg, Jun 21, 2026 (June-meeting vote, Asada dissent, Nakagawa April stance, FX intervention).</w:t>
      </w:r>
    </w:p>
    <w:p>
      <w:pPr>
        <w:spacing w:after="160"/>
      </w:pPr>
      <w:r>
        <w:rPr>
          <w:b w:val="0"/>
          <w:i/>
          <w:color w:val="808898"/>
          <w:sz w:val="18"/>
        </w:rPr>
        <w:t>This report is an analytical assessment of central-bank communication, not investment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