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AB9" w:rsidRPr="00155BE4" w:rsidRDefault="00E63565">
      <w:pPr>
        <w:spacing w:before="400"/>
        <w:jc w:val="center"/>
        <w:rPr>
          <w:rFonts w:ascii="Times New Roman" w:hAnsi="Times New Roman" w:cs="Times New Roman"/>
          <w:lang w:val="fr-FR"/>
        </w:rPr>
      </w:pPr>
      <w:r w:rsidRPr="00155BE4">
        <w:rPr>
          <w:rFonts w:ascii="Times New Roman" w:hAnsi="Times New Roman" w:cs="Times New Roman"/>
          <w:b/>
          <w:bCs/>
          <w:color w:val="1F3864"/>
          <w:sz w:val="52"/>
          <w:szCs w:val="52"/>
          <w:lang w:val="fr-FR"/>
        </w:rPr>
        <w:t>CAHIER DES CHARGES</w:t>
      </w:r>
    </w:p>
    <w:p w:rsidR="00FA3AB9" w:rsidRPr="00155BE4" w:rsidRDefault="00E63565">
      <w:pPr>
        <w:spacing w:before="200" w:after="100"/>
        <w:jc w:val="center"/>
        <w:rPr>
          <w:rFonts w:ascii="Times New Roman" w:hAnsi="Times New Roman" w:cs="Times New Roman"/>
          <w:lang w:val="fr-FR"/>
        </w:rPr>
      </w:pPr>
      <w:r w:rsidRPr="00155BE4">
        <w:rPr>
          <w:rFonts w:ascii="Times New Roman" w:hAnsi="Times New Roman" w:cs="Times New Roman"/>
          <w:b/>
          <w:bCs/>
          <w:color w:val="2E5395"/>
          <w:sz w:val="28"/>
          <w:szCs w:val="28"/>
          <w:lang w:val="fr-FR"/>
        </w:rPr>
        <w:t>Logiciel de gestion et de comptabilité — ComptaOne SARL</w:t>
      </w:r>
    </w:p>
    <w:p w:rsidR="00FA3AB9" w:rsidRPr="00155BE4" w:rsidRDefault="00E63565">
      <w:pPr>
        <w:spacing w:after="700"/>
        <w:jc w:val="center"/>
        <w:rPr>
          <w:rFonts w:ascii="Times New Roman" w:hAnsi="Times New Roman" w:cs="Times New Roman"/>
          <w:lang w:val="fr-FR"/>
        </w:rPr>
      </w:pPr>
      <w:r w:rsidRPr="00155BE4">
        <w:rPr>
          <w:rFonts w:ascii="Times New Roman" w:hAnsi="Times New Roman" w:cs="Times New Roman"/>
          <w:i/>
          <w:iCs/>
          <w:color w:val="595959"/>
          <w:sz w:val="24"/>
          <w:szCs w:val="24"/>
          <w:lang w:val="fr-FR"/>
        </w:rPr>
        <w:t>Spécifications fonctionnelles et techniques</w:t>
      </w:r>
    </w:p>
    <w:p w:rsidR="00FA3AB9" w:rsidRPr="00155BE4" w:rsidRDefault="00E63565">
      <w:pPr>
        <w:spacing w:after="100"/>
        <w:jc w:val="center"/>
        <w:rPr>
          <w:rFonts w:ascii="Times New Roman" w:hAnsi="Times New Roman" w:cs="Times New Roman"/>
          <w:lang w:val="fr-FR"/>
        </w:rPr>
      </w:pPr>
      <w:r w:rsidRPr="00155BE4">
        <w:rPr>
          <w:rFonts w:ascii="Times New Roman" w:hAnsi="Times New Roman" w:cs="Times New Roman"/>
          <w:color w:val="595959"/>
          <w:lang w:val="fr-FR"/>
        </w:rPr>
        <w:t>21 août 2026</w:t>
      </w:r>
    </w:p>
    <w:p w:rsidR="00FA3AB9" w:rsidRPr="00155BE4" w:rsidRDefault="00FA3AB9">
      <w:pPr>
        <w:jc w:val="center"/>
        <w:rPr>
          <w:rFonts w:ascii="Times New Roman" w:hAnsi="Times New Roman" w:cs="Times New Roman"/>
          <w:lang w:val="fr-FR"/>
        </w:rPr>
      </w:pPr>
    </w:p>
    <w:p w:rsidR="00FA3AB9" w:rsidRPr="00155BE4" w:rsidRDefault="00E63565">
      <w:pPr>
        <w:rPr>
          <w:rFonts w:ascii="Times New Roman" w:hAnsi="Times New Roman" w:cs="Times New Roman"/>
          <w:lang w:val="fr-FR"/>
        </w:rPr>
      </w:pPr>
      <w:r w:rsidRPr="00155BE4">
        <w:rPr>
          <w:rFonts w:ascii="Times New Roman" w:hAnsi="Times New Roman" w:cs="Times New Roman"/>
          <w:lang w:val="fr-FR"/>
        </w:rPr>
        <w:br w:type="page"/>
      </w:r>
    </w:p>
    <w:p w:rsidR="00FA3AB9" w:rsidRPr="00155BE4" w:rsidRDefault="00E63565" w:rsidP="00155BE4">
      <w:pPr>
        <w:pStyle w:val="Titre1"/>
        <w:spacing w:before="420" w:after="200"/>
        <w:jc w:val="both"/>
        <w:rPr>
          <w:rFonts w:ascii="Times New Roman" w:hAnsi="Times New Roman" w:cs="Times New Roman"/>
          <w:sz w:val="28"/>
          <w:szCs w:val="28"/>
          <w:lang w:val="fr-FR"/>
        </w:rPr>
      </w:pPr>
      <w:r w:rsidRPr="00155BE4">
        <w:rPr>
          <w:rFonts w:ascii="Times New Roman" w:hAnsi="Times New Roman" w:cs="Times New Roman"/>
          <w:sz w:val="28"/>
          <w:szCs w:val="28"/>
          <w:lang w:val="fr-FR"/>
        </w:rPr>
        <w:lastRenderedPageBreak/>
        <w:t>1. Présentation du projet</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N&amp;K SARL exploite une ferme avicole organisée en plusieurs bâtiments et fonctionnant par bandes (lots) de production. Le projet consiste à développer ComptaOne SARL, une application web sécurisée couvrant l'ensemble des activités de la ferme : production e</w:t>
      </w:r>
      <w:r w:rsidRPr="00155BE4">
        <w:rPr>
          <w:rFonts w:ascii="Times New Roman" w:hAnsi="Times New Roman" w:cs="Times New Roman"/>
          <w:sz w:val="24"/>
          <w:szCs w:val="24"/>
          <w:lang w:val="fr-FR"/>
        </w:rPr>
        <w:t>t élevage, gestion des stocks, ventes et achats, comptabilité et trésorerie, ressources humaines, et administration des accès.</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L'objectif est un logiciel fiable, sécurisé et simple d'utilisation, remplaçant les processus manuels (cahiers, tableurs) tout en</w:t>
      </w:r>
      <w:r w:rsidRPr="00155BE4">
        <w:rPr>
          <w:rFonts w:ascii="Times New Roman" w:hAnsi="Times New Roman" w:cs="Times New Roman"/>
          <w:sz w:val="24"/>
          <w:szCs w:val="24"/>
          <w:lang w:val="fr-FR"/>
        </w:rPr>
        <w:t xml:space="preserve"> empêchant toute manipulation frauduleuse des données et en assurant une traçabilité complète des opérations. L'administrateur conserve le contrôle total du système ; chaque utilisateur n'accède qu'aux fonctionnalités et informations explicitement autorisé</w:t>
      </w:r>
      <w:r w:rsidRPr="00155BE4">
        <w:rPr>
          <w:rFonts w:ascii="Times New Roman" w:hAnsi="Times New Roman" w:cs="Times New Roman"/>
          <w:sz w:val="24"/>
          <w:szCs w:val="24"/>
          <w:lang w:val="fr-FR"/>
        </w:rPr>
        <w:t>es pour son rôle.</w:t>
      </w:r>
    </w:p>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1.1 Enjeux</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Fiabiliser les chiffres comptables et de production (aucune donnée modifiable après validation)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Tracer qui a fait quoi et quand, avec un journal d'audit inaltérable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Automatiser le calcul de la trésorerie et la remontée d'al</w:t>
      </w:r>
      <w:r w:rsidRPr="00155BE4">
        <w:rPr>
          <w:rFonts w:ascii="Times New Roman" w:hAnsi="Times New Roman" w:cs="Times New Roman"/>
          <w:sz w:val="24"/>
          <w:szCs w:val="24"/>
          <w:lang w:val="fr-FR"/>
        </w:rPr>
        <w:t>ertes (stocks, créances, trésorerie)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Protéger la confidentialité des données financières et de paie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Simplifier la gestion quotidienne de la production, des stocks et des ressources humaines.</w:t>
      </w:r>
    </w:p>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1.2 Glossaire</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100"/>
        <w:gridCol w:w="7250"/>
      </w:tblGrid>
      <w:tr w:rsidR="00FA3AB9" w:rsidRPr="00155BE4">
        <w:tblPrEx>
          <w:tblCellMar>
            <w:top w:w="0" w:type="dxa"/>
            <w:bottom w:w="0" w:type="dxa"/>
          </w:tblCellMar>
        </w:tblPrEx>
        <w:trPr>
          <w:tblHeader/>
        </w:trPr>
        <w:tc>
          <w:tcPr>
            <w:tcW w:w="21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Terme</w:t>
            </w:r>
          </w:p>
        </w:tc>
        <w:tc>
          <w:tcPr>
            <w:tcW w:w="72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Définition</w:t>
            </w:r>
          </w:p>
        </w:tc>
      </w:tr>
      <w:tr w:rsidR="00FA3AB9" w:rsidRPr="00155BE4">
        <w:tblPrEx>
          <w:tblCellMar>
            <w:top w:w="0" w:type="dxa"/>
            <w:bottom w:w="0" w:type="dxa"/>
          </w:tblCellMar>
        </w:tblPrEx>
        <w:tc>
          <w:tcPr>
            <w:tcW w:w="21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Bande (lot)</w:t>
            </w:r>
          </w:p>
        </w:tc>
        <w:tc>
          <w:tcPr>
            <w:tcW w:w="72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Groupe de poussins introduit à une même date dans un bâtiment et suivi comme une unité de production jusqu'à sa clôture.</w:t>
            </w:r>
          </w:p>
        </w:tc>
      </w:tr>
      <w:tr w:rsidR="00FA3AB9" w:rsidRPr="00155BE4">
        <w:tblPrEx>
          <w:tblCellMar>
            <w:top w:w="0" w:type="dxa"/>
            <w:bottom w:w="0" w:type="dxa"/>
          </w:tblCellMar>
        </w:tblPrEx>
        <w:tc>
          <w:tcPr>
            <w:tcW w:w="21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Bâtiment / poulailler</w:t>
            </w:r>
          </w:p>
        </w:tc>
        <w:tc>
          <w:tcPr>
            <w:tcW w:w="72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Unité physique d'élevage ayant une capacité maximale et un statut.</w:t>
            </w:r>
          </w:p>
        </w:tc>
      </w:tr>
      <w:tr w:rsidR="00FA3AB9" w:rsidRPr="00155BE4">
        <w:tblPrEx>
          <w:tblCellMar>
            <w:top w:w="0" w:type="dxa"/>
            <w:bottom w:w="0" w:type="dxa"/>
          </w:tblCellMar>
        </w:tblPrEx>
        <w:tc>
          <w:tcPr>
            <w:tcW w:w="21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Cycle de production</w:t>
            </w:r>
          </w:p>
        </w:tc>
        <w:tc>
          <w:tcPr>
            <w:tcW w:w="72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Période allant de l'ouverture d'une bande à sa clôture.</w:t>
            </w:r>
          </w:p>
        </w:tc>
      </w:tr>
      <w:tr w:rsidR="00FA3AB9" w:rsidRPr="00155BE4">
        <w:tblPrEx>
          <w:tblCellMar>
            <w:top w:w="0" w:type="dxa"/>
            <w:bottom w:w="0" w:type="dxa"/>
          </w:tblCellMar>
        </w:tblPrEx>
        <w:tc>
          <w:tcPr>
            <w:tcW w:w="21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Exercice comptable</w:t>
            </w:r>
          </w:p>
        </w:tc>
        <w:tc>
          <w:tcPr>
            <w:tcW w:w="72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Période comptable (généralement annuelle) servant de base aux rapports et à la clôture.</w:t>
            </w:r>
          </w:p>
        </w:tc>
      </w:tr>
      <w:tr w:rsidR="00FA3AB9" w:rsidRPr="00155BE4">
        <w:tblPrEx>
          <w:tblCellMar>
            <w:top w:w="0" w:type="dxa"/>
            <w:bottom w:w="0" w:type="dxa"/>
          </w:tblCellMar>
        </w:tblPrEx>
        <w:tc>
          <w:tcPr>
            <w:tcW w:w="21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Clôture</w:t>
            </w:r>
          </w:p>
        </w:tc>
        <w:tc>
          <w:tcPr>
            <w:tcW w:w="72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Verrouillage définitif d'une bande ou d'un exercice une fois l'activité terminée.</w:t>
            </w:r>
          </w:p>
        </w:tc>
      </w:tr>
      <w:tr w:rsidR="00FA3AB9" w:rsidRPr="00155BE4">
        <w:tblPrEx>
          <w:tblCellMar>
            <w:top w:w="0" w:type="dxa"/>
            <w:bottom w:w="0" w:type="dxa"/>
          </w:tblCellMar>
        </w:tblPrEx>
        <w:tc>
          <w:tcPr>
            <w:tcW w:w="21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Créance</w:t>
            </w:r>
          </w:p>
        </w:tc>
        <w:tc>
          <w:tcPr>
            <w:tcW w:w="72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Somme due par un client à la ferme suite à une vente réglée partiellement ou à crédit.</w:t>
            </w:r>
          </w:p>
        </w:tc>
      </w:tr>
      <w:tr w:rsidR="00FA3AB9" w:rsidRPr="00155BE4">
        <w:tblPrEx>
          <w:tblCellMar>
            <w:top w:w="0" w:type="dxa"/>
            <w:bottom w:w="0" w:type="dxa"/>
          </w:tblCellMar>
        </w:tblPrEx>
        <w:tc>
          <w:tcPr>
            <w:tcW w:w="21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ERP</w:t>
            </w:r>
          </w:p>
        </w:tc>
        <w:tc>
          <w:tcPr>
            <w:tcW w:w="72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Progiciel de Gestion Intégré : logiciel centralisant plusieurs fonctions de gestion de l'entreprise.</w:t>
            </w:r>
          </w:p>
        </w:tc>
      </w:tr>
      <w:tr w:rsidR="00FA3AB9" w:rsidRPr="00155BE4">
        <w:tblPrEx>
          <w:tblCellMar>
            <w:top w:w="0" w:type="dxa"/>
            <w:bottom w:w="0" w:type="dxa"/>
          </w:tblCellMar>
        </w:tblPrEx>
        <w:tc>
          <w:tcPr>
            <w:tcW w:w="21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JWT</w:t>
            </w:r>
          </w:p>
        </w:tc>
        <w:tc>
          <w:tcPr>
            <w:tcW w:w="72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JSON Web Token : jeton signé utilisé pour authentifier les requêtes d'un utilisateur connecté.</w:t>
            </w:r>
          </w:p>
        </w:tc>
      </w:tr>
      <w:tr w:rsidR="00FA3AB9" w:rsidRPr="00155BE4">
        <w:tblPrEx>
          <w:tblCellMar>
            <w:top w:w="0" w:type="dxa"/>
            <w:bottom w:w="0" w:type="dxa"/>
          </w:tblCellMar>
        </w:tblPrEx>
        <w:tc>
          <w:tcPr>
            <w:tcW w:w="21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Journal d'audit</w:t>
            </w:r>
          </w:p>
        </w:tc>
        <w:tc>
          <w:tcPr>
            <w:tcW w:w="72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Registre inaltérable de toutes les opérations réalisées dans le système (qui a fait quoi, quand).</w:t>
            </w:r>
          </w:p>
        </w:tc>
      </w:tr>
      <w:tr w:rsidR="00FA3AB9" w:rsidRPr="00155BE4">
        <w:tblPrEx>
          <w:tblCellMar>
            <w:top w:w="0" w:type="dxa"/>
            <w:bottom w:w="0" w:type="dxa"/>
          </w:tblCellMar>
        </w:tblPrEx>
        <w:tc>
          <w:tcPr>
            <w:tcW w:w="21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Trésorerie</w:t>
            </w:r>
          </w:p>
        </w:tc>
        <w:tc>
          <w:tcPr>
            <w:tcW w:w="72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Solde de caisse disponible, calculé en temps réel à partir des ventes, achats, dépenses, recettes et salaires.</w:t>
            </w:r>
          </w:p>
        </w:tc>
      </w:tr>
    </w:tbl>
    <w:p w:rsidR="00FA3AB9" w:rsidRPr="00155BE4" w:rsidRDefault="00E63565" w:rsidP="00155BE4">
      <w:pPr>
        <w:pStyle w:val="Titre1"/>
        <w:spacing w:before="420" w:after="200"/>
        <w:jc w:val="both"/>
        <w:rPr>
          <w:rFonts w:ascii="Times New Roman" w:hAnsi="Times New Roman" w:cs="Times New Roman"/>
          <w:sz w:val="28"/>
          <w:szCs w:val="28"/>
          <w:lang w:val="fr-FR"/>
        </w:rPr>
      </w:pPr>
      <w:r w:rsidRPr="00155BE4">
        <w:rPr>
          <w:rFonts w:ascii="Times New Roman" w:hAnsi="Times New Roman" w:cs="Times New Roman"/>
          <w:sz w:val="28"/>
          <w:szCs w:val="28"/>
          <w:lang w:val="fr-FR"/>
        </w:rPr>
        <w:lastRenderedPageBreak/>
        <w:t>2. Objectifs, périmètre et hypothèses</w:t>
      </w:r>
    </w:p>
    <w:p w:rsidR="00FA3AB9" w:rsidRPr="00155BE4" w:rsidRDefault="00E63565" w:rsidP="00155BE4">
      <w:pPr>
        <w:pStyle w:val="Titre2"/>
        <w:spacing w:before="30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2.1 Objectifs fonctionnels</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gérer les bâtiments et leur statut d'occupation</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gérer les bandes (lots de produ</w:t>
      </w:r>
      <w:r w:rsidRPr="00155BE4">
        <w:rPr>
          <w:rFonts w:ascii="Times New Roman" w:hAnsi="Times New Roman" w:cs="Times New Roman"/>
          <w:sz w:val="24"/>
          <w:szCs w:val="24"/>
          <w:lang w:val="fr-FR"/>
        </w:rPr>
        <w:t>ction) et leur cycle de vie</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suivre l'alimentation, la mortalité et le sanitaire par bande</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gérer les stocks avec seuils d'alerte automatiques</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gérer les achats et les ventes, avec suivi des créances</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tenir la comptabilité et la trésorerie automatiquement à pa</w:t>
      </w:r>
      <w:r w:rsidRPr="00155BE4">
        <w:rPr>
          <w:rFonts w:ascii="Times New Roman" w:hAnsi="Times New Roman" w:cs="Times New Roman"/>
          <w:sz w:val="24"/>
          <w:szCs w:val="24"/>
          <w:lang w:val="fr-FR"/>
        </w:rPr>
        <w:t>rtir des opérations</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gérer les fiches employés et les paiements de salaire</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sécuriser les accès par rôle et tracer toutes les opérations</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notifier automatiquement les événements sensibles (stocks, trésorerie, créances)</w:t>
      </w:r>
    </w:p>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2.2 Périmètre</w:t>
      </w:r>
    </w:p>
    <w:p w:rsidR="00FA3AB9" w:rsidRPr="00155BE4" w:rsidRDefault="00E63565" w:rsidP="00155BE4">
      <w:pPr>
        <w:pStyle w:val="Titre3"/>
        <w:spacing w:after="90"/>
        <w:jc w:val="both"/>
        <w:rPr>
          <w:rFonts w:ascii="Times New Roman" w:hAnsi="Times New Roman" w:cs="Times New Roman"/>
          <w:sz w:val="24"/>
          <w:szCs w:val="24"/>
        </w:rPr>
      </w:pPr>
      <w:r w:rsidRPr="00155BE4">
        <w:rPr>
          <w:rFonts w:ascii="Times New Roman" w:hAnsi="Times New Roman" w:cs="Times New Roman"/>
          <w:sz w:val="24"/>
          <w:szCs w:val="24"/>
        </w:rPr>
        <w:t>Inclus</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Application web responsive (poste fixe et tablette) accessible via navigateur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Tous les modules décrits au chapitre 5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Notifications in-app et par e-mail (Nodemailer)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Suivi des salaires et confirmation de paiement (voir 5.10).</w:t>
      </w:r>
    </w:p>
    <w:p w:rsidR="00FA3AB9" w:rsidRPr="00155BE4" w:rsidRDefault="00E63565" w:rsidP="00155BE4">
      <w:pPr>
        <w:pStyle w:val="Titre3"/>
        <w:spacing w:after="90"/>
        <w:jc w:val="both"/>
        <w:rPr>
          <w:rFonts w:ascii="Times New Roman" w:hAnsi="Times New Roman" w:cs="Times New Roman"/>
          <w:sz w:val="24"/>
          <w:szCs w:val="24"/>
        </w:rPr>
      </w:pPr>
      <w:r w:rsidRPr="00155BE4">
        <w:rPr>
          <w:rFonts w:ascii="Times New Roman" w:hAnsi="Times New Roman" w:cs="Times New Roman"/>
          <w:sz w:val="24"/>
          <w:szCs w:val="24"/>
        </w:rPr>
        <w:t>Exclu (sauf avenant)</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Comp</w:t>
      </w:r>
      <w:r w:rsidRPr="00155BE4">
        <w:rPr>
          <w:rFonts w:ascii="Times New Roman" w:hAnsi="Times New Roman" w:cs="Times New Roman"/>
          <w:sz w:val="24"/>
          <w:szCs w:val="24"/>
          <w:lang w:val="fr-FR"/>
        </w:rPr>
        <w:t>tabilité fiscale légale complète / liasse fiscale : le logiciel produit une comptabilité de gestion, pas une déclaration officielle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Paie détaillée (bulletins avec cotisations et retenues légales) — le suivi simple des salaires est, lui, inclus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Intégrat</w:t>
      </w:r>
      <w:r w:rsidRPr="00155BE4">
        <w:rPr>
          <w:rFonts w:ascii="Times New Roman" w:hAnsi="Times New Roman" w:cs="Times New Roman"/>
          <w:sz w:val="24"/>
          <w:szCs w:val="24"/>
          <w:lang w:val="fr-FR"/>
        </w:rPr>
        <w:t>ion matérielle (balances connectées, capteurs IoT) — envisageable en option ultérieure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Application mobile native et gestion multi-sites.</w:t>
      </w:r>
    </w:p>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2.3 Hypothèses et contraintes</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600"/>
        <w:gridCol w:w="6750"/>
      </w:tblGrid>
      <w:tr w:rsidR="00FA3AB9" w:rsidRPr="00155BE4">
        <w:tblPrEx>
          <w:tblCellMar>
            <w:top w:w="0" w:type="dxa"/>
            <w:bottom w:w="0" w:type="dxa"/>
          </w:tblCellMar>
        </w:tblPrEx>
        <w:trPr>
          <w:tblHeader/>
        </w:trPr>
        <w:tc>
          <w:tcPr>
            <w:tcW w:w="26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Paramètre</w:t>
            </w:r>
          </w:p>
        </w:tc>
        <w:tc>
          <w:tcPr>
            <w:tcW w:w="67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b/>
                <w:bCs/>
                <w:color w:val="FFFFFF"/>
                <w:sz w:val="24"/>
                <w:szCs w:val="24"/>
                <w:lang w:val="fr-FR"/>
              </w:rPr>
              <w:t>Valeur retenue (hypothèse à confirmer)</w:t>
            </w:r>
          </w:p>
        </w:tc>
      </w:tr>
      <w:tr w:rsidR="00FA3AB9" w:rsidRPr="00155BE4">
        <w:tblPrEx>
          <w:tblCellMar>
            <w:top w:w="0" w:type="dxa"/>
            <w:bottom w:w="0" w:type="dxa"/>
          </w:tblCellMar>
        </w:tblPrEx>
        <w:tc>
          <w:tcPr>
            <w:tcW w:w="26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Devise</w:t>
            </w:r>
          </w:p>
        </w:tc>
        <w:tc>
          <w:tcPr>
            <w:tcW w:w="6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Franc CFA (FCFA)</w:t>
            </w:r>
          </w:p>
        </w:tc>
      </w:tr>
      <w:tr w:rsidR="00FA3AB9" w:rsidRPr="00155BE4">
        <w:tblPrEx>
          <w:tblCellMar>
            <w:top w:w="0" w:type="dxa"/>
            <w:bottom w:w="0" w:type="dxa"/>
          </w:tblCellMar>
        </w:tblPrEx>
        <w:tc>
          <w:tcPr>
            <w:tcW w:w="26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Langue de l'interface</w:t>
            </w:r>
          </w:p>
        </w:tc>
        <w:tc>
          <w:tcPr>
            <w:tcW w:w="6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Français</w:t>
            </w:r>
          </w:p>
        </w:tc>
      </w:tr>
      <w:tr w:rsidR="00FA3AB9" w:rsidRPr="00155BE4">
        <w:tblPrEx>
          <w:tblCellMar>
            <w:top w:w="0" w:type="dxa"/>
            <w:bottom w:w="0" w:type="dxa"/>
          </w:tblCellMar>
        </w:tblPrEx>
        <w:tc>
          <w:tcPr>
            <w:tcW w:w="26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Utilisateurs simultanés cible</w:t>
            </w:r>
          </w:p>
        </w:tc>
        <w:tc>
          <w:tcPr>
            <w:tcW w:w="6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5 à 15 (extensible)</w:t>
            </w:r>
          </w:p>
        </w:tc>
      </w:tr>
      <w:tr w:rsidR="00FA3AB9" w:rsidRPr="00155BE4">
        <w:tblPrEx>
          <w:tblCellMar>
            <w:top w:w="0" w:type="dxa"/>
            <w:bottom w:w="0" w:type="dxa"/>
          </w:tblCellMar>
        </w:tblPrEx>
        <w:tc>
          <w:tcPr>
            <w:tcW w:w="26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Volumétrie</w:t>
            </w:r>
          </w:p>
        </w:tc>
        <w:tc>
          <w:tcPr>
            <w:tcW w:w="6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Plusieurs bâtiments, plusieurs bandes par an, plusieurs milliers de sujets par bande</w:t>
            </w:r>
          </w:p>
        </w:tc>
      </w:tr>
      <w:tr w:rsidR="00FA3AB9" w:rsidRPr="00155BE4">
        <w:tblPrEx>
          <w:tblCellMar>
            <w:top w:w="0" w:type="dxa"/>
            <w:bottom w:w="0" w:type="dxa"/>
          </w:tblCellMar>
        </w:tblPrEx>
        <w:tc>
          <w:tcPr>
            <w:tcW w:w="26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Connectivité</w:t>
            </w:r>
          </w:p>
        </w:tc>
        <w:tc>
          <w:tcPr>
            <w:tcW w:w="6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Connexion internet requise ; l'application étant une SPA React consommant une API, une dégradation propre en cas de coupure est à prévoir</w:t>
            </w:r>
          </w:p>
        </w:tc>
      </w:tr>
      <w:tr w:rsidR="00FA3AB9" w:rsidRPr="00155BE4">
        <w:tblPrEx>
          <w:tblCellMar>
            <w:top w:w="0" w:type="dxa"/>
            <w:bottom w:w="0" w:type="dxa"/>
          </w:tblCellMar>
        </w:tblPrEx>
        <w:tc>
          <w:tcPr>
            <w:tcW w:w="26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Fuseau / format de date</w:t>
            </w:r>
          </w:p>
        </w:tc>
        <w:tc>
          <w:tcPr>
            <w:tcW w:w="6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Heure locale ; format JJ/MM/AAAA</w:t>
            </w:r>
          </w:p>
        </w:tc>
      </w:tr>
      <w:tr w:rsidR="00FA3AB9" w:rsidRPr="00155BE4">
        <w:tblPrEx>
          <w:tblCellMar>
            <w:top w:w="0" w:type="dxa"/>
            <w:bottom w:w="0" w:type="dxa"/>
          </w:tblCellMar>
        </w:tblPrEx>
        <w:tc>
          <w:tcPr>
            <w:tcW w:w="26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Support cible</w:t>
            </w:r>
          </w:p>
        </w:tc>
        <w:tc>
          <w:tcPr>
            <w:tcW w:w="6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Navigateurs récents (Chrome, Edge, Firefox) sur ordinateur et tablette</w:t>
            </w:r>
          </w:p>
        </w:tc>
      </w:tr>
    </w:tbl>
    <w:p w:rsidR="00FA3AB9" w:rsidRPr="00155BE4" w:rsidRDefault="00E63565" w:rsidP="00155BE4">
      <w:pPr>
        <w:pStyle w:val="Titre1"/>
        <w:spacing w:before="420" w:after="200"/>
        <w:jc w:val="both"/>
        <w:rPr>
          <w:rFonts w:ascii="Times New Roman" w:hAnsi="Times New Roman" w:cs="Times New Roman"/>
          <w:sz w:val="28"/>
          <w:szCs w:val="28"/>
          <w:lang w:val="fr-FR"/>
        </w:rPr>
      </w:pPr>
      <w:r w:rsidRPr="00155BE4">
        <w:rPr>
          <w:rFonts w:ascii="Times New Roman" w:hAnsi="Times New Roman" w:cs="Times New Roman"/>
          <w:sz w:val="28"/>
          <w:szCs w:val="28"/>
          <w:lang w:val="fr-FR"/>
        </w:rPr>
        <w:lastRenderedPageBreak/>
        <w:t>3. Acteurs et rôles</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Chaque utilisateur possède un identifiant, un mot de passe et un rôle, et ne voit que les modules auxquels il est autorisé (voir la matrice du chapitre 6).</w:t>
      </w:r>
    </w:p>
    <w:p w:rsidR="00FA3AB9" w:rsidRPr="00155BE4" w:rsidRDefault="00E63565" w:rsidP="00155BE4">
      <w:pPr>
        <w:pStyle w:val="Titre3"/>
        <w:spacing w:after="9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3.1 Admi</w:t>
      </w:r>
      <w:r w:rsidRPr="00155BE4">
        <w:rPr>
          <w:rFonts w:ascii="Times New Roman" w:hAnsi="Times New Roman" w:cs="Times New Roman"/>
          <w:sz w:val="24"/>
          <w:szCs w:val="24"/>
          <w:lang w:val="fr-FR"/>
        </w:rPr>
        <w:t>nistrateur</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Seul profil disposant de tous les droits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créer, modifier, désactiver un utilisateur et réinitialiser un mot de passe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attribuer les rôles et les autorisations d'accès par module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consulter l'ensemble des données financières et opérationnelle</w:t>
      </w:r>
      <w:r w:rsidRPr="00155BE4">
        <w:rPr>
          <w:rFonts w:ascii="Times New Roman" w:hAnsi="Times New Roman" w:cs="Times New Roman"/>
          <w:sz w:val="24"/>
          <w:szCs w:val="24"/>
          <w:lang w:val="fr-FR"/>
        </w:rPr>
        <w:t>s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valider les demandes de correction et clôturer les bandes et exercices.</w:t>
      </w:r>
    </w:p>
    <w:p w:rsidR="00FA3AB9" w:rsidRPr="00155BE4" w:rsidRDefault="00E63565" w:rsidP="00155BE4">
      <w:pPr>
        <w:pStyle w:val="Titre3"/>
        <w:spacing w:after="9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3.2 Direction</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Suivi stratégique de l'activité : tableaux de bord, trésorerie, validation des opérations sensibles. Son accès aux données financières détaillées est déterminé au cas</w:t>
      </w:r>
      <w:r w:rsidRPr="00155BE4">
        <w:rPr>
          <w:rFonts w:ascii="Times New Roman" w:hAnsi="Times New Roman" w:cs="Times New Roman"/>
          <w:sz w:val="24"/>
          <w:szCs w:val="24"/>
          <w:lang w:val="fr-FR"/>
        </w:rPr>
        <w:t xml:space="preserve"> par cas par l'administrateur.</w:t>
      </w:r>
    </w:p>
    <w:p w:rsidR="00FA3AB9" w:rsidRPr="00155BE4" w:rsidRDefault="00E63565" w:rsidP="00155BE4">
      <w:pPr>
        <w:pStyle w:val="Titre3"/>
        <w:spacing w:after="9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3.3 Comptable</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Enregistre les dépenses, recettes, ventes, achats et paiements de salaire, et consulte les rapports financiers. Ne peut pas modifier les données techniques de production.</w:t>
      </w:r>
    </w:p>
    <w:p w:rsidR="00FA3AB9" w:rsidRPr="00155BE4" w:rsidRDefault="00E63565" w:rsidP="00155BE4">
      <w:pPr>
        <w:pStyle w:val="Titre3"/>
        <w:spacing w:after="9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3.4 Magasinier</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Enregistre les entrées et sorties de stock et consulte les quantités disponibles. Ne peut pas consulter la comptabilité ni modifier les ventes.</w:t>
      </w:r>
    </w:p>
    <w:p w:rsidR="00FA3AB9" w:rsidRPr="00155BE4" w:rsidRDefault="00E63565" w:rsidP="00155BE4">
      <w:pPr>
        <w:pStyle w:val="Titre3"/>
        <w:spacing w:after="9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3.5 Agent de production</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Enregistre le suivi quotidien : alimentation, mortalité, traitements sanitaires. Ne peut</w:t>
      </w:r>
      <w:r w:rsidRPr="00155BE4">
        <w:rPr>
          <w:rFonts w:ascii="Times New Roman" w:hAnsi="Times New Roman" w:cs="Times New Roman"/>
          <w:sz w:val="24"/>
          <w:szCs w:val="24"/>
          <w:lang w:val="fr-FR"/>
        </w:rPr>
        <w:t xml:space="preserve"> pas consulter les données financières ni modifier les ventes ou les achats.</w:t>
      </w:r>
    </w:p>
    <w:p w:rsidR="00FA3AB9" w:rsidRPr="00155BE4" w:rsidRDefault="00E63565" w:rsidP="00155BE4">
      <w:pPr>
        <w:pStyle w:val="Titre1"/>
        <w:spacing w:before="420" w:after="200"/>
        <w:jc w:val="both"/>
        <w:rPr>
          <w:rFonts w:ascii="Times New Roman" w:hAnsi="Times New Roman" w:cs="Times New Roman"/>
          <w:sz w:val="28"/>
          <w:szCs w:val="28"/>
          <w:lang w:val="fr-FR"/>
        </w:rPr>
      </w:pPr>
      <w:r w:rsidRPr="00155BE4">
        <w:rPr>
          <w:rFonts w:ascii="Times New Roman" w:hAnsi="Times New Roman" w:cs="Times New Roman"/>
          <w:sz w:val="28"/>
          <w:szCs w:val="28"/>
          <w:lang w:val="fr-FR"/>
        </w:rPr>
        <w:t>4. Sécurité, confidentialité et contrôle d'accès</w:t>
      </w:r>
    </w:p>
    <w:p w:rsidR="00FA3AB9" w:rsidRPr="00155BE4" w:rsidRDefault="00E63565" w:rsidP="00155BE4">
      <w:pPr>
        <w:pStyle w:val="Titre2"/>
        <w:spacing w:before="30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4.1 Sécurité applicative</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Connexion par identifiant et mot de passe ; mots de passe hachés avec Argon2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Authentification par jeton</w:t>
      </w:r>
      <w:r w:rsidRPr="00155BE4">
        <w:rPr>
          <w:rFonts w:ascii="Times New Roman" w:hAnsi="Times New Roman" w:cs="Times New Roman"/>
          <w:sz w:val="24"/>
          <w:szCs w:val="24"/>
          <w:lang w:val="fr-FR"/>
        </w:rPr>
        <w:t xml:space="preserve"> JWT sécurisant chaque appel à l'API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Limitation des tentatives de connexion (rate limiting par e-mail et par adresse IP) contre les attaques par force brute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Protection contre l'injection SQL par l'usage systématique de requêtes paramétrées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Protection</w:t>
      </w:r>
      <w:r w:rsidRPr="00155BE4">
        <w:rPr>
          <w:rFonts w:ascii="Times New Roman" w:hAnsi="Times New Roman" w:cs="Times New Roman"/>
          <w:sz w:val="24"/>
          <w:szCs w:val="24"/>
          <w:lang w:val="fr-FR"/>
        </w:rPr>
        <w:t xml:space="preserve"> contre le mass assignment : les champs sensibles (rôle, statut administrateur, blocage de compte) sont exclus des champs modifiables en masse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Sauvegarde automatique et régulière des données (voir 8.2)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Impossibilité d'accéder à un module sans autorisat</w:t>
      </w:r>
      <w:r w:rsidRPr="00155BE4">
        <w:rPr>
          <w:rFonts w:ascii="Times New Roman" w:hAnsi="Times New Roman" w:cs="Times New Roman"/>
          <w:sz w:val="24"/>
          <w:szCs w:val="24"/>
          <w:lang w:val="fr-FR"/>
        </w:rPr>
        <w:t>ion, y compris par appel direct à l'API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Possibilité de bloquer / désactiver un utilisateur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Journalisation de toutes les tentatives de connexion et actions (voir 5.9).</w:t>
      </w:r>
    </w:p>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4.2 Confidentialité</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Les informations financières et de paie sont strictement réservée</w:t>
      </w:r>
      <w:r w:rsidRPr="00155BE4">
        <w:rPr>
          <w:rFonts w:ascii="Times New Roman" w:hAnsi="Times New Roman" w:cs="Times New Roman"/>
          <w:sz w:val="24"/>
          <w:szCs w:val="24"/>
          <w:lang w:val="fr-FR"/>
        </w:rPr>
        <w:t>s aux utilisateurs autorisés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Chaque profil ne consulte que les informations nécessaires à son travail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lastRenderedPageBreak/>
        <w:t>Aucun accès aux données financières sans autorisation explicite de l'administrateur.</w:t>
      </w:r>
    </w:p>
    <w:p w:rsidR="00FA3AB9" w:rsidRPr="00155BE4" w:rsidRDefault="00E63565" w:rsidP="00155BE4">
      <w:pPr>
        <w:pStyle w:val="Titre1"/>
        <w:spacing w:before="420" w:after="200"/>
        <w:jc w:val="both"/>
        <w:rPr>
          <w:rFonts w:ascii="Times New Roman" w:hAnsi="Times New Roman" w:cs="Times New Roman"/>
          <w:sz w:val="28"/>
          <w:szCs w:val="28"/>
          <w:lang w:val="fr-FR"/>
        </w:rPr>
      </w:pPr>
      <w:r w:rsidRPr="00155BE4">
        <w:rPr>
          <w:rFonts w:ascii="Times New Roman" w:hAnsi="Times New Roman" w:cs="Times New Roman"/>
          <w:sz w:val="28"/>
          <w:szCs w:val="28"/>
          <w:lang w:val="fr-FR"/>
        </w:rPr>
        <w:t>5. Exigences fonctionnelles détaillées</w:t>
      </w:r>
    </w:p>
    <w:p w:rsidR="00FA3AB9" w:rsidRPr="00155BE4" w:rsidRDefault="00E63565" w:rsidP="00155BE4">
      <w:pPr>
        <w:pStyle w:val="Titre2"/>
        <w:spacing w:before="30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5.1 Production et élevage</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150"/>
        <w:gridCol w:w="3750"/>
        <w:gridCol w:w="3450"/>
      </w:tblGrid>
      <w:tr w:rsidR="00FA3AB9" w:rsidRPr="00155BE4">
        <w:tblPrEx>
          <w:tblCellMar>
            <w:top w:w="0" w:type="dxa"/>
            <w:bottom w:w="0" w:type="dxa"/>
          </w:tblCellMar>
        </w:tblPrEx>
        <w:trPr>
          <w:tblHeader/>
        </w:trPr>
        <w:tc>
          <w:tcPr>
            <w:tcW w:w="21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Fonctionnalité</w:t>
            </w:r>
          </w:p>
        </w:tc>
        <w:tc>
          <w:tcPr>
            <w:tcW w:w="37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Description</w:t>
            </w:r>
          </w:p>
        </w:tc>
        <w:tc>
          <w:tcPr>
            <w:tcW w:w="34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Règles de gestion</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Gestion des bâtiments</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Création, modification et désactivation d'un poulailler ; consultation de l'historique de ses bandes.</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Un bâtiment a 3 statuts : Vide, En préparation, En production. Le changement de statut est journalisé.</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Gestion des bandes (lots)</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Enregistrement d'un lot de poussins : numéro unique, bâtiment, date d'arrivée, fournisseur, effectif reçu, prix d'achat, observations.</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RG-1 : l'effectif d'une bande ne peut dépasser la capacité du bâtiment. RG-2 : un bâtiment « en production » ne peut rece</w:t>
            </w:r>
            <w:r w:rsidRPr="00155BE4">
              <w:rPr>
                <w:rFonts w:ascii="Times New Roman" w:hAnsi="Times New Roman" w:cs="Times New Roman"/>
                <w:color w:val="000000"/>
                <w:sz w:val="24"/>
                <w:szCs w:val="24"/>
                <w:lang w:val="fr-FR"/>
              </w:rPr>
              <w:t>voir une nouvelle bande qu'après clôture et nettoyage de la précédente.</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Ouverture d'une bande</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Seul un utilisateur autorisé ouvre une bande, ce qui crée automatiquement le cycle de production associé.</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Toutes les opérations ultérieures (alimentation, mortalité, sanitaire, ventes) sont rattachées à cette bande jusqu'à sa clôture.</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Clôture d'une bande</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Une fois tous les sujets vendus, la bande est clôturée par un utilisateur habilité.</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Après clôture : plus aucune opération ne peut être ajoutée, modifiée ou supprimée ; la bande devient une archive consultable en lecture seule.</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Suivi de l'alimentation</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Saisie journalière des quantités d'aliment distribuées par bande.</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La saisie décrémente automatiquement le stock d'aliment correspondant (module Stocks).</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Suivi de la mortalité</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Saisie journalière du nombre de sujets morts par bande, avec cause et observations.</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Taux de mortalité = (cumul mortalité ÷ effectif reçu) x 100 ; alerte automatique si le taux dépasse un seuil paramétrable.</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Suivi sanitaire</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Enregistrement des vaccins et traitements administrés par bande (produit, dose, date).</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Le produit doit exister dans le référentiel Stocks, dont il décrémente la quantité disponible.</w:t>
            </w:r>
          </w:p>
        </w:tc>
      </w:tr>
    </w:tbl>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5.2 Gestion des stocks</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139"/>
        <w:gridCol w:w="3704"/>
        <w:gridCol w:w="3507"/>
      </w:tblGrid>
      <w:tr w:rsidR="00FA3AB9" w:rsidRPr="00155BE4">
        <w:tblPrEx>
          <w:tblCellMar>
            <w:top w:w="0" w:type="dxa"/>
            <w:bottom w:w="0" w:type="dxa"/>
          </w:tblCellMar>
        </w:tblPrEx>
        <w:trPr>
          <w:tblHeader/>
        </w:trPr>
        <w:tc>
          <w:tcPr>
            <w:tcW w:w="21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Fonctionnalité</w:t>
            </w:r>
          </w:p>
        </w:tc>
        <w:tc>
          <w:tcPr>
            <w:tcW w:w="37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Description</w:t>
            </w:r>
          </w:p>
        </w:tc>
        <w:tc>
          <w:tcPr>
            <w:tcW w:w="34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Règles de gestion</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Référentiel produits</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Catalogue des produits (aliments, vaccins, matériel, consommables) avec unité de mesure et seuil de sécurité.</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Chaque produit appartient à une catégorie ; le seuil de sécurité est paramétrable produit par produit.</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lastRenderedPageBreak/>
              <w:t>Mouvements de stock</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Historique horodaté de chaque entrée (achat, réception) et sortie (consommation, vente).</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Toute opération de stock est transactionnelle (BEGIN/COMMIT/ROLLBACK) : en cas d'erreur, le mouvement est intégralement annulé.</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Alertes de seuil</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Déclenchement automatique d'une alerte lorsqu'un produit atteint son seuil de sécurité.</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L'alerte s'affiche sur le tableau de bord et un e-mail est envoyé automatiquement aux comptes Administrateur.</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Inventaire</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Consultation de l'état des stocks en temps réel, filtrable par catégorie ou produit.</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Le stock affiché est recalculé à partir des mouvements enregistrés, jamais stocké en dur.</w:t>
            </w:r>
          </w:p>
        </w:tc>
      </w:tr>
    </w:tbl>
    <w:p w:rsidR="00FA3AB9" w:rsidRPr="00155BE4" w:rsidRDefault="00E63565" w:rsidP="00155BE4">
      <w:pPr>
        <w:pStyle w:val="Titre2"/>
        <w:spacing w:before="30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5.3 Gestion commerciale (achats, ventes, créances)</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150"/>
        <w:gridCol w:w="3750"/>
        <w:gridCol w:w="3450"/>
      </w:tblGrid>
      <w:tr w:rsidR="00FA3AB9" w:rsidRPr="00155BE4">
        <w:tblPrEx>
          <w:tblCellMar>
            <w:top w:w="0" w:type="dxa"/>
            <w:bottom w:w="0" w:type="dxa"/>
          </w:tblCellMar>
        </w:tblPrEx>
        <w:trPr>
          <w:tblHeader/>
        </w:trPr>
        <w:tc>
          <w:tcPr>
            <w:tcW w:w="21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Fonctionnalité</w:t>
            </w:r>
          </w:p>
        </w:tc>
        <w:tc>
          <w:tcPr>
            <w:tcW w:w="37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Description</w:t>
            </w:r>
          </w:p>
        </w:tc>
        <w:tc>
          <w:tcPr>
            <w:tcW w:w="34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Règles de gestion</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Ventes</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Facturation de la vente de volailles ou d'œufs ; encaissement immédiat ou à crédit ; rattachement à une bande.</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Une vente à crédit crée automatiquement une créance associée au client.</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Achats</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Enregistrement des commandes fournisseurs et des dépenses d'approvisionnement (aliments, vaccins, matériel...).</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Un achat validé génère automatiquement une entrée de stock correspondante.</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Créances</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Suivi des clients débiteurs : paiements partiels, historique de règlement, statut (en cours, partiel, soldé, en retard).</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Une alerte de relance est déclenchée X jours avant l'échéance (seuil paramétrable).</w:t>
            </w:r>
          </w:p>
        </w:tc>
      </w:tr>
    </w:tbl>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5.4 Comptabilité et trésorerie</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150"/>
        <w:gridCol w:w="3750"/>
        <w:gridCol w:w="3450"/>
      </w:tblGrid>
      <w:tr w:rsidR="00FA3AB9" w:rsidRPr="00155BE4">
        <w:tblPrEx>
          <w:tblCellMar>
            <w:top w:w="0" w:type="dxa"/>
            <w:bottom w:w="0" w:type="dxa"/>
          </w:tblCellMar>
        </w:tblPrEx>
        <w:trPr>
          <w:tblHeader/>
        </w:trPr>
        <w:tc>
          <w:tcPr>
            <w:tcW w:w="21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Fonctionnalité</w:t>
            </w:r>
          </w:p>
        </w:tc>
        <w:tc>
          <w:tcPr>
            <w:tcW w:w="37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Description</w:t>
            </w:r>
          </w:p>
        </w:tc>
        <w:tc>
          <w:tcPr>
            <w:tcW w:w="34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Règles de gestion</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Flux financiers</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Saisie des dépenses (loyer, factures courantes) et recettes annexes hors ventes.</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Chaque flux est catégorisé pour alimenter les rapports.</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Trésorerie en temps réel</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Calcul automatique de la caisse disponible.</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Trésorerie = Ventes + Recettes − Achats − Dépenses − Salaires, recalculée à la demande par agrégats SQL (jamais une valeur stockée).</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Alertes de trésorerie</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Notification si la trésorerie passe sous un seuil défini.</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E-mail automatique envoyé à la direction dès franchissement du seuil critique.</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lastRenderedPageBreak/>
              <w:t>Clôture d'exercice</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Verrouillage des données d'un exercice comptable clôturé.</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Après clôture, aucune donnée de l'exercice n'est modifiable directement (voir 5.9 — workflow de correction).</w:t>
            </w:r>
          </w:p>
        </w:tc>
      </w:tr>
    </w:tbl>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5.5 Ressources humaines et salaires</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150"/>
        <w:gridCol w:w="3750"/>
        <w:gridCol w:w="3450"/>
      </w:tblGrid>
      <w:tr w:rsidR="00FA3AB9" w:rsidRPr="00155BE4">
        <w:tblPrEx>
          <w:tblCellMar>
            <w:top w:w="0" w:type="dxa"/>
            <w:bottom w:w="0" w:type="dxa"/>
          </w:tblCellMar>
        </w:tblPrEx>
        <w:trPr>
          <w:tblHeader/>
        </w:trPr>
        <w:tc>
          <w:tcPr>
            <w:tcW w:w="21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Fonctionnalité</w:t>
            </w:r>
          </w:p>
        </w:tc>
        <w:tc>
          <w:tcPr>
            <w:tcW w:w="37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Description</w:t>
            </w:r>
          </w:p>
        </w:tc>
        <w:tc>
          <w:tcPr>
            <w:tcW w:w="34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Règles de gestion</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Fiches employés</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Registre du personnel : identité, poste, date d'embauche, coordonnées, e-mail, statut (actif/inactif).</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L'e-mail est obligatoire pour l'envoi des accès et des confirmations de paiement.</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Fiches de paie</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Génération mensuelle des bulletins de salaire par employé.</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Le calcul s'appuie sur les paramètres de paie définis (salaire de base, primes, retenues).</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Validation et paiement</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Validation du paiement d'une fiche de paie par un utilisateur habilité.</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Une fiche validée est verrouillée ; l'employé reçoit un e-mail de confirmation de paiement. Les salaires sont intégrés automatiquement à la comptabilité en tant que charges de personnel.</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Lien utilisateur / employé</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Association automatique entre le compte d'accès applicatif et la fiche RH.</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Évite la double saisie lors du recrutement d'un nouvel employé.</w:t>
            </w:r>
          </w:p>
        </w:tc>
      </w:tr>
    </w:tbl>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5.6 Sécurité et administration</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150"/>
        <w:gridCol w:w="3750"/>
        <w:gridCol w:w="3450"/>
      </w:tblGrid>
      <w:tr w:rsidR="00FA3AB9" w:rsidRPr="00155BE4">
        <w:tblPrEx>
          <w:tblCellMar>
            <w:top w:w="0" w:type="dxa"/>
            <w:bottom w:w="0" w:type="dxa"/>
          </w:tblCellMar>
        </w:tblPrEx>
        <w:trPr>
          <w:tblHeader/>
        </w:trPr>
        <w:tc>
          <w:tcPr>
            <w:tcW w:w="21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Fonctionnalité</w:t>
            </w:r>
          </w:p>
        </w:tc>
        <w:tc>
          <w:tcPr>
            <w:tcW w:w="37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Description</w:t>
            </w:r>
          </w:p>
        </w:tc>
        <w:tc>
          <w:tcPr>
            <w:tcW w:w="34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Règles de gestion</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Gestion des comptes</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Création de comptes avec attribution d'un rôle (Admin, Direction, Comptable, Magasinier, Agent de production).</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L'employé initialise lui-même son mot de passe via un lien sécurisé envoyé par e-mail ; aucun mot de passe n'est transmis en clair.</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Droits granulaires</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Matrice Voir / Créer / Modifier / Supprimer, paramétrable par rôle et par module.</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L'interface masque automatiquement les actions non autorisées pour l'utilisateur connecté.</w:t>
            </w:r>
          </w:p>
        </w:tc>
      </w:tr>
      <w:tr w:rsidR="00FA3AB9" w:rsidRPr="00155BE4">
        <w:tblPrEx>
          <w:tblCellMar>
            <w:top w:w="0" w:type="dxa"/>
            <w:bottom w:w="0" w:type="dxa"/>
          </w:tblCellMar>
        </w:tblPrEx>
        <w:tc>
          <w:tcPr>
            <w:tcW w:w="2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Journal d'audit</w:t>
            </w:r>
          </w:p>
        </w:tc>
        <w:tc>
          <w:tcPr>
            <w:tcW w:w="37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Enregistrement automatique et inaltérable de chaque action (auteur, action, module, horodatage).</w:t>
            </w:r>
          </w:p>
        </w:tc>
        <w:tc>
          <w:tcPr>
            <w:tcW w:w="3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Le journal est en lecture seule, y compris pour les administrateurs.</w:t>
            </w:r>
          </w:p>
        </w:tc>
      </w:tr>
      <w:tr w:rsidR="00FA3AB9" w:rsidRPr="00155BE4">
        <w:tblPrEx>
          <w:tblCellMar>
            <w:top w:w="0" w:type="dxa"/>
            <w:bottom w:w="0" w:type="dxa"/>
          </w:tblCellMar>
        </w:tblPrEx>
        <w:tc>
          <w:tcPr>
            <w:tcW w:w="2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Workflow de correction</w:t>
            </w:r>
          </w:p>
        </w:tc>
        <w:tc>
          <w:tcPr>
            <w:tcW w:w="37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Demande de modification d'une donnée verrouillée après validation (donnée concernée, valeur actuelle, valeur demandée, motif).</w:t>
            </w:r>
          </w:p>
        </w:tc>
        <w:tc>
          <w:tcPr>
            <w:tcW w:w="3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La demande doit être approuvée par la direction avant application ; l'ancienne valeur reste conservée dans l'historique.</w:t>
            </w:r>
          </w:p>
        </w:tc>
      </w:tr>
    </w:tbl>
    <w:p w:rsidR="00FA3AB9" w:rsidRPr="00155BE4" w:rsidRDefault="00E63565" w:rsidP="00155BE4">
      <w:pPr>
        <w:pStyle w:val="Titre2"/>
        <w:spacing w:before="30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lastRenderedPageBreak/>
        <w:t>5.7 Verrouillage, corrections et audit</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Une donnée enregistrée et validée ne peut plus être modifiée directement par son auteur, ni supprimée : elle devient verrouillée. En cas d'erreur constatée après validation, l'utilisateur utilise la fonction « Demande</w:t>
      </w:r>
      <w:r w:rsidRPr="00155BE4">
        <w:rPr>
          <w:rFonts w:ascii="Times New Roman" w:hAnsi="Times New Roman" w:cs="Times New Roman"/>
          <w:sz w:val="24"/>
          <w:szCs w:val="24"/>
          <w:lang w:val="fr-FR"/>
        </w:rPr>
        <w:t>r une correction », qui indique la donnée concernée, la valeur enregistrée, la valeur demandée et le motif. Seul l'administrateur valide ou refuse la demande ; l'ancienne valeur reste conservée dans l'historique et la décision est journalisée (voir 5.6 — W</w:t>
      </w:r>
      <w:r w:rsidRPr="00155BE4">
        <w:rPr>
          <w:rFonts w:ascii="Times New Roman" w:hAnsi="Times New Roman" w:cs="Times New Roman"/>
          <w:sz w:val="24"/>
          <w:szCs w:val="24"/>
          <w:lang w:val="fr-FR"/>
        </w:rPr>
        <w:t>orkflow de correction).</w:t>
      </w:r>
    </w:p>
    <w:p w:rsidR="00FA3AB9" w:rsidRPr="00155BE4" w:rsidRDefault="00E63565" w:rsidP="00155BE4">
      <w:pPr>
        <w:pStyle w:val="Titre2"/>
        <w:spacing w:before="30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5.8 Notifications et alertes</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 moteur d'alertes surveille automatiquement les événements suivants et notifie les utilisateurs concernés in-app et par e-mail :</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4200"/>
        <w:gridCol w:w="5150"/>
      </w:tblGrid>
      <w:tr w:rsidR="00FA3AB9" w:rsidRPr="00155BE4">
        <w:tblPrEx>
          <w:tblCellMar>
            <w:top w:w="0" w:type="dxa"/>
            <w:bottom w:w="0" w:type="dxa"/>
          </w:tblCellMar>
        </w:tblPrEx>
        <w:trPr>
          <w:tblHeader/>
        </w:trPr>
        <w:tc>
          <w:tcPr>
            <w:tcW w:w="42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Événement déclencheur</w:t>
            </w:r>
          </w:p>
        </w:tc>
        <w:tc>
          <w:tcPr>
            <w:tcW w:w="51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Notification</w:t>
            </w:r>
          </w:p>
        </w:tc>
      </w:tr>
      <w:tr w:rsidR="00FA3AB9" w:rsidRPr="00155BE4">
        <w:tblPrEx>
          <w:tblCellMar>
            <w:top w:w="0" w:type="dxa"/>
            <w:bottom w:w="0" w:type="dxa"/>
          </w:tblCellMar>
        </w:tblPrEx>
        <w:tc>
          <w:tcPr>
            <w:tcW w:w="42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Création d'un compte utilisateur</w:t>
            </w:r>
          </w:p>
        </w:tc>
        <w:tc>
          <w:tcPr>
            <w:tcW w:w="5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Lien sécurisé d'initialisation du mot de passe, envoyé au nouvel employé.</w:t>
            </w:r>
          </w:p>
        </w:tc>
      </w:tr>
      <w:tr w:rsidR="00FA3AB9" w:rsidRPr="00155BE4">
        <w:tblPrEx>
          <w:tblCellMar>
            <w:top w:w="0" w:type="dxa"/>
            <w:bottom w:w="0" w:type="dxa"/>
          </w:tblCellMar>
        </w:tblPrEx>
        <w:tc>
          <w:tcPr>
            <w:tcW w:w="42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Validation du paiement d'une fiche de paie</w:t>
            </w:r>
          </w:p>
        </w:tc>
        <w:tc>
          <w:tcPr>
            <w:tcW w:w="5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Confirmation de paiement envoyée directement à l'employé concerné.</w:t>
            </w:r>
          </w:p>
        </w:tc>
      </w:tr>
      <w:tr w:rsidR="00FA3AB9" w:rsidRPr="00155BE4">
        <w:tblPrEx>
          <w:tblCellMar>
            <w:top w:w="0" w:type="dxa"/>
            <w:bottom w:w="0" w:type="dxa"/>
          </w:tblCellMar>
        </w:tblPrEx>
        <w:tc>
          <w:tcPr>
            <w:tcW w:w="42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Stock atteignant le seuil de sécurité</w:t>
            </w:r>
          </w:p>
        </w:tc>
        <w:tc>
          <w:tcPr>
            <w:tcW w:w="5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Alerte in-app et e-mail envoyés aux comptes Administrateur.</w:t>
            </w:r>
          </w:p>
        </w:tc>
      </w:tr>
      <w:tr w:rsidR="00FA3AB9" w:rsidRPr="00155BE4">
        <w:tblPrEx>
          <w:tblCellMar>
            <w:top w:w="0" w:type="dxa"/>
            <w:bottom w:w="0" w:type="dxa"/>
          </w:tblCellMar>
        </w:tblPrEx>
        <w:tc>
          <w:tcPr>
            <w:tcW w:w="42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Trésorerie sous le seuil critique</w:t>
            </w:r>
          </w:p>
        </w:tc>
        <w:tc>
          <w:tcPr>
            <w:tcW w:w="5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Alerte in-app et e-mail envoyés à la direction.</w:t>
            </w:r>
          </w:p>
        </w:tc>
      </w:tr>
      <w:tr w:rsidR="00FA3AB9" w:rsidRPr="00155BE4">
        <w:tblPrEx>
          <w:tblCellMar>
            <w:top w:w="0" w:type="dxa"/>
            <w:bottom w:w="0" w:type="dxa"/>
          </w:tblCellMar>
        </w:tblPrEx>
        <w:tc>
          <w:tcPr>
            <w:tcW w:w="42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Échéance de créance client proche ou dépassée</w:t>
            </w:r>
          </w:p>
        </w:tc>
        <w:tc>
          <w:tcPr>
            <w:tcW w:w="5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Notification de relance envoyée au(x) responsable(s) commercial/comptable.</w:t>
            </w:r>
          </w:p>
        </w:tc>
      </w:tr>
      <w:tr w:rsidR="00FA3AB9" w:rsidRPr="00155BE4">
        <w:tblPrEx>
          <w:tblCellMar>
            <w:top w:w="0" w:type="dxa"/>
            <w:bottom w:w="0" w:type="dxa"/>
          </w:tblCellMar>
        </w:tblPrEx>
        <w:tc>
          <w:tcPr>
            <w:tcW w:w="42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Mortalité anormalement élevée sur une bande</w:t>
            </w:r>
          </w:p>
        </w:tc>
        <w:tc>
          <w:tcPr>
            <w:tcW w:w="5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Alerte in-app envoyée à la production et à la direction.</w:t>
            </w:r>
          </w:p>
        </w:tc>
      </w:tr>
    </w:tbl>
    <w:p w:rsidR="00FA3AB9" w:rsidRPr="00155BE4" w:rsidRDefault="00E63565" w:rsidP="00155BE4">
      <w:pPr>
        <w:pStyle w:val="Titre2"/>
        <w:spacing w:before="30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5.9 Rapports et tableau de bord</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 tableau de bord présente en temps réel : la trésorerie disponible, les recettes et dépenses, le nombre de bâtiments et de bandes ouvertes, l'effectif total de sujets, la masse salariale et les alertes en cours. Des rapports par bâtiment, par bande, vent</w:t>
      </w:r>
      <w:r w:rsidRPr="00155BE4">
        <w:rPr>
          <w:rFonts w:ascii="Times New Roman" w:hAnsi="Times New Roman" w:cs="Times New Roman"/>
          <w:sz w:val="24"/>
          <w:szCs w:val="24"/>
          <w:lang w:val="fr-FR"/>
        </w:rPr>
        <w:t>es, achats, dépenses, recettes, salaires et stocks sont exportables (PDF et Word), avec logo, en-tête, pied de page et date d'édition.</w:t>
      </w:r>
    </w:p>
    <w:p w:rsidR="00FA3AB9" w:rsidRPr="00155BE4" w:rsidRDefault="00E63565" w:rsidP="00155BE4">
      <w:pPr>
        <w:pStyle w:val="Titre1"/>
        <w:spacing w:before="420" w:after="200"/>
        <w:jc w:val="both"/>
        <w:rPr>
          <w:rFonts w:ascii="Times New Roman" w:hAnsi="Times New Roman" w:cs="Times New Roman"/>
          <w:sz w:val="28"/>
          <w:szCs w:val="28"/>
          <w:lang w:val="fr-FR"/>
        </w:rPr>
      </w:pPr>
      <w:r w:rsidRPr="00155BE4">
        <w:rPr>
          <w:rFonts w:ascii="Times New Roman" w:hAnsi="Times New Roman" w:cs="Times New Roman"/>
          <w:sz w:val="28"/>
          <w:szCs w:val="28"/>
          <w:lang w:val="fr-FR"/>
        </w:rPr>
        <w:t>6. Matrice des rôles et permissions</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Les droits d'accès sont configurables individuellement ; la matrice ci-dessous fixe l</w:t>
      </w:r>
      <w:r w:rsidRPr="00155BE4">
        <w:rPr>
          <w:rFonts w:ascii="Times New Roman" w:hAnsi="Times New Roman" w:cs="Times New Roman"/>
          <w:sz w:val="24"/>
          <w:szCs w:val="24"/>
          <w:lang w:val="fr-FR"/>
        </w:rPr>
        <w:t>es valeurs par défaut, affinables par l'administrateur.</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i/>
          <w:iCs/>
          <w:color w:val="595959"/>
          <w:sz w:val="24"/>
          <w:szCs w:val="24"/>
          <w:lang w:val="fr-FR"/>
        </w:rPr>
        <w:t xml:space="preserve">Légende : ● complet · </w:t>
      </w:r>
      <w:r w:rsidRPr="00155BE4">
        <w:rPr>
          <w:rFonts w:ascii="Cambria Math" w:hAnsi="Cambria Math" w:cs="Cambria Math"/>
          <w:i/>
          <w:iCs/>
          <w:color w:val="595959"/>
          <w:sz w:val="24"/>
          <w:szCs w:val="24"/>
          <w:lang w:val="fr-FR"/>
        </w:rPr>
        <w:t>◐</w:t>
      </w:r>
      <w:r w:rsidRPr="00155BE4">
        <w:rPr>
          <w:rFonts w:ascii="Times New Roman" w:hAnsi="Times New Roman" w:cs="Times New Roman"/>
          <w:i/>
          <w:iCs/>
          <w:color w:val="595959"/>
          <w:sz w:val="24"/>
          <w:szCs w:val="24"/>
          <w:lang w:val="fr-FR"/>
        </w:rPr>
        <w:t xml:space="preserve"> partiel / lecture seule · — aucun accès.</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640"/>
        <w:gridCol w:w="1336"/>
        <w:gridCol w:w="1338"/>
        <w:gridCol w:w="1340"/>
        <w:gridCol w:w="1360"/>
        <w:gridCol w:w="1336"/>
      </w:tblGrid>
      <w:tr w:rsidR="00FA3AB9" w:rsidRPr="00155BE4">
        <w:tblPrEx>
          <w:tblCellMar>
            <w:top w:w="0" w:type="dxa"/>
            <w:bottom w:w="0" w:type="dxa"/>
          </w:tblCellMar>
        </w:tblPrEx>
        <w:trPr>
          <w:tblHeader/>
        </w:trPr>
        <w:tc>
          <w:tcPr>
            <w:tcW w:w="26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Module</w:t>
            </w:r>
          </w:p>
        </w:tc>
        <w:tc>
          <w:tcPr>
            <w:tcW w:w="134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Admin</w:t>
            </w:r>
          </w:p>
        </w:tc>
        <w:tc>
          <w:tcPr>
            <w:tcW w:w="134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Direction</w:t>
            </w:r>
          </w:p>
        </w:tc>
        <w:tc>
          <w:tcPr>
            <w:tcW w:w="134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Comptable</w:t>
            </w:r>
          </w:p>
        </w:tc>
        <w:tc>
          <w:tcPr>
            <w:tcW w:w="134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Magasinier</w:t>
            </w:r>
          </w:p>
        </w:tc>
        <w:tc>
          <w:tcPr>
            <w:tcW w:w="134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Agent Prod.</w:t>
            </w:r>
          </w:p>
        </w:tc>
      </w:tr>
      <w:tr w:rsidR="00FA3AB9" w:rsidRPr="00155BE4">
        <w:tblPrEx>
          <w:tblCellMar>
            <w:top w:w="0" w:type="dxa"/>
            <w:bottom w:w="0" w:type="dxa"/>
          </w:tblCellMar>
        </w:tblPrEx>
        <w:tc>
          <w:tcPr>
            <w:tcW w:w="26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Utilisateurs &amp; droits</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r>
      <w:tr w:rsidR="00FA3AB9" w:rsidRPr="00155BE4">
        <w:tblPrEx>
          <w:tblCellMar>
            <w:top w:w="0" w:type="dxa"/>
            <w:bottom w:w="0" w:type="dxa"/>
          </w:tblCellMar>
        </w:tblPrEx>
        <w:tc>
          <w:tcPr>
            <w:tcW w:w="26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Bâtiments &amp; bandes</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r>
      <w:tr w:rsidR="00FA3AB9" w:rsidRPr="00155BE4">
        <w:tblPrEx>
          <w:tblCellMar>
            <w:top w:w="0" w:type="dxa"/>
            <w:bottom w:w="0" w:type="dxa"/>
          </w:tblCellMar>
        </w:tblPrEx>
        <w:tc>
          <w:tcPr>
            <w:tcW w:w="26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Suivi quotidien (alim., mortalité, sanitaire)</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r>
      <w:tr w:rsidR="00FA3AB9" w:rsidRPr="00155BE4">
        <w:tblPrEx>
          <w:tblCellMar>
            <w:top w:w="0" w:type="dxa"/>
            <w:bottom w:w="0" w:type="dxa"/>
          </w:tblCellMar>
        </w:tblPrEx>
        <w:tc>
          <w:tcPr>
            <w:tcW w:w="26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Stocks</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r>
      <w:tr w:rsidR="00FA3AB9" w:rsidRPr="00155BE4">
        <w:tblPrEx>
          <w:tblCellMar>
            <w:top w:w="0" w:type="dxa"/>
            <w:bottom w:w="0" w:type="dxa"/>
          </w:tblCellMar>
        </w:tblPrEx>
        <w:tc>
          <w:tcPr>
            <w:tcW w:w="26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lastRenderedPageBreak/>
              <w:t>Achats</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r>
      <w:tr w:rsidR="00FA3AB9" w:rsidRPr="00155BE4">
        <w:tblPrEx>
          <w:tblCellMar>
            <w:top w:w="0" w:type="dxa"/>
            <w:bottom w:w="0" w:type="dxa"/>
          </w:tblCellMar>
        </w:tblPrEx>
        <w:tc>
          <w:tcPr>
            <w:tcW w:w="26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Ventes &amp; créances</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r>
      <w:tr w:rsidR="00FA3AB9" w:rsidRPr="00155BE4">
        <w:tblPrEx>
          <w:tblCellMar>
            <w:top w:w="0" w:type="dxa"/>
            <w:bottom w:w="0" w:type="dxa"/>
          </w:tblCellMar>
        </w:tblPrEx>
        <w:tc>
          <w:tcPr>
            <w:tcW w:w="26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Comptabilité &amp; trésorerie</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r>
      <w:tr w:rsidR="00FA3AB9" w:rsidRPr="00155BE4">
        <w:tblPrEx>
          <w:tblCellMar>
            <w:top w:w="0" w:type="dxa"/>
            <w:bottom w:w="0" w:type="dxa"/>
          </w:tblCellMar>
        </w:tblPrEx>
        <w:tc>
          <w:tcPr>
            <w:tcW w:w="26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Salaires</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r>
      <w:tr w:rsidR="00FA3AB9" w:rsidRPr="00155BE4">
        <w:tblPrEx>
          <w:tblCellMar>
            <w:top w:w="0" w:type="dxa"/>
            <w:bottom w:w="0" w:type="dxa"/>
          </w:tblCellMar>
        </w:tblPrEx>
        <w:tc>
          <w:tcPr>
            <w:tcW w:w="26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Rapports &amp; exports</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r>
      <w:tr w:rsidR="00FA3AB9" w:rsidRPr="00155BE4">
        <w:tblPrEx>
          <w:tblCellMar>
            <w:top w:w="0" w:type="dxa"/>
            <w:bottom w:w="0" w:type="dxa"/>
          </w:tblCellMar>
        </w:tblPrEx>
        <w:tc>
          <w:tcPr>
            <w:tcW w:w="26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Journal d'audit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r>
      <w:tr w:rsidR="00FA3AB9" w:rsidRPr="00155BE4">
        <w:tblPrEx>
          <w:tblCellMar>
            <w:top w:w="0" w:type="dxa"/>
            <w:bottom w:w="0" w:type="dxa"/>
          </w:tblCellMar>
        </w:tblPrEx>
        <w:tc>
          <w:tcPr>
            <w:tcW w:w="26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Validation des corrections</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Cambria Math" w:hAnsi="Cambria Math" w:cs="Cambria Math"/>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c>
          <w:tcPr>
            <w:tcW w:w="134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w:t>
            </w:r>
          </w:p>
        </w:tc>
      </w:tr>
    </w:tbl>
    <w:p w:rsidR="00FA3AB9" w:rsidRPr="00155BE4" w:rsidRDefault="00E63565" w:rsidP="00155BE4">
      <w:pPr>
        <w:pStyle w:val="Titre1"/>
        <w:spacing w:before="420" w:after="200"/>
        <w:jc w:val="both"/>
        <w:rPr>
          <w:rFonts w:ascii="Times New Roman" w:hAnsi="Times New Roman" w:cs="Times New Roman"/>
          <w:sz w:val="28"/>
          <w:szCs w:val="28"/>
        </w:rPr>
      </w:pPr>
      <w:r w:rsidRPr="00155BE4">
        <w:rPr>
          <w:rFonts w:ascii="Times New Roman" w:hAnsi="Times New Roman" w:cs="Times New Roman"/>
          <w:sz w:val="28"/>
          <w:szCs w:val="28"/>
        </w:rPr>
        <w:t>7. Indicateurs de performance (KPI)</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 logiciel calcule automatiquement, par bande et de façon consolidée, les indicateurs suivants.</w:t>
      </w:r>
    </w:p>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7.1 Indicateurs zootechniques</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300"/>
        <w:gridCol w:w="3800"/>
        <w:gridCol w:w="3250"/>
      </w:tblGrid>
      <w:tr w:rsidR="00FA3AB9" w:rsidRPr="00155BE4">
        <w:tblPrEx>
          <w:tblCellMar>
            <w:top w:w="0" w:type="dxa"/>
            <w:bottom w:w="0" w:type="dxa"/>
          </w:tblCellMar>
        </w:tblPrEx>
        <w:trPr>
          <w:tblHeader/>
        </w:trPr>
        <w:tc>
          <w:tcPr>
            <w:tcW w:w="23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Indicateur</w:t>
            </w:r>
          </w:p>
        </w:tc>
        <w:tc>
          <w:tcPr>
            <w:tcW w:w="38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Formule / définition</w:t>
            </w:r>
          </w:p>
        </w:tc>
        <w:tc>
          <w:tcPr>
            <w:tcW w:w="32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Utilité</w:t>
            </w:r>
          </w:p>
        </w:tc>
      </w:tr>
      <w:tr w:rsidR="00FA3AB9" w:rsidRPr="00155BE4">
        <w:tblPrEx>
          <w:tblCellMar>
            <w:top w:w="0" w:type="dxa"/>
            <w:bottom w:w="0" w:type="dxa"/>
          </w:tblCellMar>
        </w:tblPrEx>
        <w:tc>
          <w:tcPr>
            <w:tcW w:w="23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Taux de mortalité (%)</w:t>
            </w:r>
          </w:p>
        </w:tc>
        <w:tc>
          <w:tcPr>
            <w:tcW w:w="38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Sujets morts ÷ effectif reçu × 100</w:t>
            </w:r>
          </w:p>
        </w:tc>
        <w:tc>
          <w:tcPr>
            <w:tcW w:w="32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Santé du lot, déclenchement d'alerte sanitaire</w:t>
            </w:r>
          </w:p>
        </w:tc>
      </w:tr>
      <w:tr w:rsidR="00FA3AB9" w:rsidRPr="00155BE4">
        <w:tblPrEx>
          <w:tblCellMar>
            <w:top w:w="0" w:type="dxa"/>
            <w:bottom w:w="0" w:type="dxa"/>
          </w:tblCellMar>
        </w:tblPrEx>
        <w:tc>
          <w:tcPr>
            <w:tcW w:w="23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Taux de viabilité (%)</w:t>
            </w:r>
          </w:p>
        </w:tc>
        <w:tc>
          <w:tcPr>
            <w:tcW w:w="38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100 − taux de mortalité</w:t>
            </w:r>
          </w:p>
        </w:tc>
        <w:tc>
          <w:tcPr>
            <w:tcW w:w="32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Performance de survie de la bande</w:t>
            </w:r>
          </w:p>
        </w:tc>
      </w:tr>
      <w:tr w:rsidR="00FA3AB9" w:rsidRPr="00155BE4">
        <w:tblPrEx>
          <w:tblCellMar>
            <w:top w:w="0" w:type="dxa"/>
            <w:bottom w:w="0" w:type="dxa"/>
          </w:tblCellMar>
        </w:tblPrEx>
        <w:tc>
          <w:tcPr>
            <w:tcW w:w="23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Effectif vivant</w:t>
            </w:r>
          </w:p>
        </w:tc>
        <w:tc>
          <w:tcPr>
            <w:tcW w:w="38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Effectif reçu − morts − vendus</w:t>
            </w:r>
          </w:p>
        </w:tc>
        <w:tc>
          <w:tcPr>
            <w:tcW w:w="32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Suivi en temps réel de la bande</w:t>
            </w:r>
          </w:p>
        </w:tc>
      </w:tr>
      <w:tr w:rsidR="00FA3AB9" w:rsidRPr="00155BE4">
        <w:tblPrEx>
          <w:tblCellMar>
            <w:top w:w="0" w:type="dxa"/>
            <w:bottom w:w="0" w:type="dxa"/>
          </w:tblCellMar>
        </w:tblPrEx>
        <w:tc>
          <w:tcPr>
            <w:tcW w:w="23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Consommation d'aliment</w:t>
            </w:r>
          </w:p>
        </w:tc>
        <w:tc>
          <w:tcPr>
            <w:tcW w:w="38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Somme des quantités distribuées</w:t>
            </w:r>
          </w:p>
        </w:tc>
        <w:tc>
          <w:tcPr>
            <w:tcW w:w="32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Suivi du coût alimentaire</w:t>
            </w:r>
          </w:p>
        </w:tc>
      </w:tr>
    </w:tbl>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7.2 Indicateurs économiques</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3200"/>
        <w:gridCol w:w="6150"/>
      </w:tblGrid>
      <w:tr w:rsidR="00FA3AB9" w:rsidRPr="00155BE4">
        <w:tblPrEx>
          <w:tblCellMar>
            <w:top w:w="0" w:type="dxa"/>
            <w:bottom w:w="0" w:type="dxa"/>
          </w:tblCellMar>
        </w:tblPrEx>
        <w:trPr>
          <w:tblHeader/>
        </w:trPr>
        <w:tc>
          <w:tcPr>
            <w:tcW w:w="32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Indicateur</w:t>
            </w:r>
          </w:p>
        </w:tc>
        <w:tc>
          <w:tcPr>
            <w:tcW w:w="61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Définition</w:t>
            </w:r>
          </w:p>
        </w:tc>
      </w:tr>
      <w:tr w:rsidR="00FA3AB9" w:rsidRPr="00155BE4">
        <w:tblPrEx>
          <w:tblCellMar>
            <w:top w:w="0" w:type="dxa"/>
            <w:bottom w:w="0" w:type="dxa"/>
          </w:tblCellMar>
        </w:tblPrEx>
        <w:tc>
          <w:tcPr>
            <w:tcW w:w="32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Coût de revient par sujet</w:t>
            </w:r>
          </w:p>
        </w:tc>
        <w:tc>
          <w:tcPr>
            <w:tcW w:w="6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Total des charges de la bande ÷ nombre de sujets</w:t>
            </w:r>
          </w:p>
        </w:tc>
      </w:tr>
      <w:tr w:rsidR="00FA3AB9" w:rsidRPr="00155BE4">
        <w:tblPrEx>
          <w:tblCellMar>
            <w:top w:w="0" w:type="dxa"/>
            <w:bottom w:w="0" w:type="dxa"/>
          </w:tblCellMar>
        </w:tblPrEx>
        <w:tc>
          <w:tcPr>
            <w:tcW w:w="32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Chiffre d'affaires de la bande</w:t>
            </w:r>
          </w:p>
        </w:tc>
        <w:tc>
          <w:tcPr>
            <w:tcW w:w="6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Total des ventes rattachées à la bande</w:t>
            </w:r>
          </w:p>
        </w:tc>
      </w:tr>
      <w:tr w:rsidR="00FA3AB9" w:rsidRPr="00155BE4">
        <w:tblPrEx>
          <w:tblCellMar>
            <w:top w:w="0" w:type="dxa"/>
            <w:bottom w:w="0" w:type="dxa"/>
          </w:tblCellMar>
        </w:tblPrEx>
        <w:tc>
          <w:tcPr>
            <w:tcW w:w="32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Marge / résultat de la bande</w:t>
            </w:r>
          </w:p>
        </w:tc>
        <w:tc>
          <w:tcPr>
            <w:tcW w:w="6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Recettes − dépenses de la bande</w:t>
            </w:r>
          </w:p>
        </w:tc>
      </w:tr>
      <w:tr w:rsidR="00FA3AB9" w:rsidRPr="00155BE4">
        <w:tblPrEx>
          <w:tblCellMar>
            <w:top w:w="0" w:type="dxa"/>
            <w:bottom w:w="0" w:type="dxa"/>
          </w:tblCellMar>
        </w:tblPrEx>
        <w:tc>
          <w:tcPr>
            <w:tcW w:w="32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Trésorerie disponible</w:t>
            </w:r>
          </w:p>
        </w:tc>
        <w:tc>
          <w:tcPr>
            <w:tcW w:w="6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Ventes + Recettes − Achats − Dépenses − Salaires</w:t>
            </w:r>
          </w:p>
        </w:tc>
      </w:tr>
      <w:tr w:rsidR="00FA3AB9" w:rsidRPr="00155BE4">
        <w:tblPrEx>
          <w:tblCellMar>
            <w:top w:w="0" w:type="dxa"/>
            <w:bottom w:w="0" w:type="dxa"/>
          </w:tblCellMar>
        </w:tblPrEx>
        <w:tc>
          <w:tcPr>
            <w:tcW w:w="32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Masse salariale (période)</w:t>
            </w:r>
          </w:p>
        </w:tc>
        <w:tc>
          <w:tcPr>
            <w:tcW w:w="61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Somme des salaires payés sur la période</w:t>
            </w:r>
          </w:p>
        </w:tc>
      </w:tr>
      <w:tr w:rsidR="00FA3AB9" w:rsidRPr="00155BE4">
        <w:tblPrEx>
          <w:tblCellMar>
            <w:top w:w="0" w:type="dxa"/>
            <w:bottom w:w="0" w:type="dxa"/>
          </w:tblCellMar>
        </w:tblPrEx>
        <w:tc>
          <w:tcPr>
            <w:tcW w:w="32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Créances en cours / en retard</w:t>
            </w:r>
          </w:p>
        </w:tc>
        <w:tc>
          <w:tcPr>
            <w:tcW w:w="61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Somme des soldes restants, par statut</w:t>
            </w:r>
          </w:p>
        </w:tc>
      </w:tr>
    </w:tbl>
    <w:p w:rsidR="00FA3AB9" w:rsidRPr="00155BE4" w:rsidRDefault="00E63565" w:rsidP="00155BE4">
      <w:pPr>
        <w:pStyle w:val="Titre1"/>
        <w:spacing w:before="420" w:after="200"/>
        <w:jc w:val="both"/>
        <w:rPr>
          <w:rFonts w:ascii="Times New Roman" w:hAnsi="Times New Roman" w:cs="Times New Roman"/>
          <w:sz w:val="28"/>
          <w:szCs w:val="28"/>
        </w:rPr>
      </w:pPr>
      <w:r w:rsidRPr="00155BE4">
        <w:rPr>
          <w:rFonts w:ascii="Times New Roman" w:hAnsi="Times New Roman" w:cs="Times New Roman"/>
          <w:sz w:val="28"/>
          <w:szCs w:val="28"/>
        </w:rPr>
        <w:t>8. Exigences non fonctionnelles</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400"/>
        <w:gridCol w:w="6950"/>
      </w:tblGrid>
      <w:tr w:rsidR="00FA3AB9" w:rsidRPr="00155BE4">
        <w:tblPrEx>
          <w:tblCellMar>
            <w:top w:w="0" w:type="dxa"/>
            <w:bottom w:w="0" w:type="dxa"/>
          </w:tblCellMar>
        </w:tblPrEx>
        <w:trPr>
          <w:tblHeader/>
        </w:trPr>
        <w:tc>
          <w:tcPr>
            <w:tcW w:w="24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lastRenderedPageBreak/>
              <w:t>Catégorie</w:t>
            </w:r>
          </w:p>
        </w:tc>
        <w:tc>
          <w:tcPr>
            <w:tcW w:w="69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Exigence</w:t>
            </w:r>
          </w:p>
        </w:tc>
      </w:tr>
      <w:tr w:rsidR="00FA3AB9" w:rsidRPr="00155BE4">
        <w:tblPrEx>
          <w:tblCellMar>
            <w:top w:w="0" w:type="dxa"/>
            <w:bottom w:w="0" w:type="dxa"/>
          </w:tblCellMar>
        </w:tblPrEx>
        <w:tc>
          <w:tcPr>
            <w:tcW w:w="24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Performance</w:t>
            </w:r>
          </w:p>
        </w:tc>
        <w:tc>
          <w:tcPr>
            <w:tcW w:w="69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Temps de réponse des écrans courants &lt; 2 secondes en usage normal ; génération d'un rapport standard &lt; 10 secondes.</w:t>
            </w:r>
          </w:p>
        </w:tc>
      </w:tr>
      <w:tr w:rsidR="00FA3AB9" w:rsidRPr="00155BE4">
        <w:tblPrEx>
          <w:tblCellMar>
            <w:top w:w="0" w:type="dxa"/>
            <w:bottom w:w="0" w:type="dxa"/>
          </w:tblCellMar>
        </w:tblPrEx>
        <w:tc>
          <w:tcPr>
            <w:tcW w:w="24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Disponibilité</w:t>
            </w:r>
          </w:p>
        </w:tc>
        <w:tc>
          <w:tcPr>
            <w:tcW w:w="69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Disponibilité cible ≥ 99 % sur les heures d'exploitation ; aucune perte de donnée validée en cas de coupure (transactions ato</w:t>
            </w:r>
            <w:r w:rsidRPr="00155BE4">
              <w:rPr>
                <w:rFonts w:ascii="Times New Roman" w:hAnsi="Times New Roman" w:cs="Times New Roman"/>
                <w:color w:val="000000"/>
                <w:sz w:val="24"/>
                <w:szCs w:val="24"/>
                <w:lang w:val="fr-FR"/>
              </w:rPr>
              <w:t>miques PostgreSQL).</w:t>
            </w:r>
          </w:p>
        </w:tc>
      </w:tr>
      <w:tr w:rsidR="00FA3AB9" w:rsidRPr="00155BE4">
        <w:tblPrEx>
          <w:tblCellMar>
            <w:top w:w="0" w:type="dxa"/>
            <w:bottom w:w="0" w:type="dxa"/>
          </w:tblCellMar>
        </w:tblPrEx>
        <w:tc>
          <w:tcPr>
            <w:tcW w:w="24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Sauvegarde et reprise</w:t>
            </w:r>
          </w:p>
        </w:tc>
        <w:tc>
          <w:tcPr>
            <w:tcW w:w="69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Sauvegarde automatique quotidienne, conservée hors du serveur principal ; procédure de restauration documentée et testée ; perte de données maximale (RPO) ≤ 24 h.</w:t>
            </w:r>
          </w:p>
        </w:tc>
      </w:tr>
      <w:tr w:rsidR="00FA3AB9" w:rsidRPr="00155BE4">
        <w:tblPrEx>
          <w:tblCellMar>
            <w:top w:w="0" w:type="dxa"/>
            <w:bottom w:w="0" w:type="dxa"/>
          </w:tblCellMar>
        </w:tblPrEx>
        <w:tc>
          <w:tcPr>
            <w:tcW w:w="24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Sécurité des données</w:t>
            </w:r>
          </w:p>
        </w:tc>
        <w:tc>
          <w:tcPr>
            <w:tcW w:w="69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Mots de passe hachés (Argon2), jetons JWT, connexion HTTPS, requêtes SQL paramétrées, exclusion des champs sensibles du mass assignment, rate limiting sur les tentatives de connexion.</w:t>
            </w:r>
          </w:p>
        </w:tc>
      </w:tr>
      <w:tr w:rsidR="00FA3AB9" w:rsidRPr="00155BE4">
        <w:tblPrEx>
          <w:tblCellMar>
            <w:top w:w="0" w:type="dxa"/>
            <w:bottom w:w="0" w:type="dxa"/>
          </w:tblCellMar>
        </w:tblPrEx>
        <w:tc>
          <w:tcPr>
            <w:tcW w:w="24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Traçabilité</w:t>
            </w:r>
          </w:p>
        </w:tc>
        <w:tc>
          <w:tcPr>
            <w:tcW w:w="69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Journal d'audit inaltérable et horodaté pour toute création, modification ou suppression.</w:t>
            </w:r>
          </w:p>
        </w:tc>
      </w:tr>
      <w:tr w:rsidR="00FA3AB9" w:rsidRPr="00155BE4">
        <w:tblPrEx>
          <w:tblCellMar>
            <w:top w:w="0" w:type="dxa"/>
            <w:bottom w:w="0" w:type="dxa"/>
          </w:tblCellMar>
        </w:tblPrEx>
        <w:tc>
          <w:tcPr>
            <w:tcW w:w="24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Ergonomie</w:t>
            </w:r>
          </w:p>
        </w:tc>
        <w:tc>
          <w:tcPr>
            <w:tcW w:w="69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Interface en français, cohérente, sans rechargement de page (SPA React) ; masquage automatique des actions non autorisées ; messages d'erreur explicites.</w:t>
            </w:r>
          </w:p>
        </w:tc>
      </w:tr>
      <w:tr w:rsidR="00FA3AB9" w:rsidRPr="00155BE4">
        <w:tblPrEx>
          <w:tblCellMar>
            <w:top w:w="0" w:type="dxa"/>
            <w:bottom w:w="0" w:type="dxa"/>
          </w:tblCellMar>
        </w:tblPrEx>
        <w:tc>
          <w:tcPr>
            <w:tcW w:w="24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Compatibilité</w:t>
            </w:r>
          </w:p>
        </w:tc>
        <w:tc>
          <w:tcPr>
            <w:tcW w:w="69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Application web responsive, utilisable sur ordinateur et tablette, sur les navigateurs récents (Chrome, Edge, Firefox).</w:t>
            </w:r>
          </w:p>
        </w:tc>
      </w:tr>
      <w:tr w:rsidR="00FA3AB9" w:rsidRPr="00155BE4">
        <w:tblPrEx>
          <w:tblCellMar>
            <w:top w:w="0" w:type="dxa"/>
            <w:bottom w:w="0" w:type="dxa"/>
          </w:tblCellMar>
        </w:tblPrEx>
        <w:tc>
          <w:tcPr>
            <w:tcW w:w="24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Maintenabilité et évolutivité</w:t>
            </w:r>
          </w:p>
        </w:tc>
        <w:tc>
          <w:tcPr>
            <w:tcW w:w="69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Architecture modulaire (React/Express/PostgreSQL) permettant l'ajout de modules ; paramétra</w:t>
            </w:r>
            <w:r w:rsidRPr="00155BE4">
              <w:rPr>
                <w:rFonts w:ascii="Times New Roman" w:hAnsi="Times New Roman" w:cs="Times New Roman"/>
                <w:color w:val="000000"/>
                <w:sz w:val="24"/>
                <w:szCs w:val="24"/>
                <w:lang w:val="fr-FR"/>
              </w:rPr>
              <w:t>ge des seuils, rôles et alertes sans redéveloppement.</w:t>
            </w:r>
          </w:p>
        </w:tc>
      </w:tr>
    </w:tbl>
    <w:p w:rsidR="00FA3AB9" w:rsidRPr="00155BE4" w:rsidRDefault="00E63565" w:rsidP="00155BE4">
      <w:pPr>
        <w:pStyle w:val="Titre1"/>
        <w:spacing w:before="420" w:after="200"/>
        <w:jc w:val="both"/>
        <w:rPr>
          <w:rFonts w:ascii="Times New Roman" w:hAnsi="Times New Roman" w:cs="Times New Roman"/>
          <w:sz w:val="28"/>
          <w:szCs w:val="28"/>
          <w:lang w:val="fr-FR"/>
        </w:rPr>
      </w:pPr>
      <w:r w:rsidRPr="00155BE4">
        <w:rPr>
          <w:rFonts w:ascii="Times New Roman" w:hAnsi="Times New Roman" w:cs="Times New Roman"/>
          <w:sz w:val="28"/>
          <w:szCs w:val="28"/>
          <w:lang w:val="fr-FR"/>
        </w:rPr>
        <w:t>9. Modèle de données</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 modèle conceptuel ci-dessous décrit les principales entités et leurs relations ; il sert de base à la conception de la base de données PostgreSQL.</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900"/>
        <w:gridCol w:w="3900"/>
        <w:gridCol w:w="3550"/>
      </w:tblGrid>
      <w:tr w:rsidR="00FA3AB9" w:rsidRPr="00155BE4">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Entité</w:t>
            </w:r>
          </w:p>
        </w:tc>
        <w:tc>
          <w:tcPr>
            <w:tcW w:w="39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Principaux attributs</w:t>
            </w:r>
          </w:p>
        </w:tc>
        <w:tc>
          <w:tcPr>
            <w:tcW w:w="35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Relations</w:t>
            </w:r>
          </w:p>
        </w:tc>
      </w:tr>
      <w:tr w:rsidR="00FA3AB9" w:rsidRPr="00155BE4">
        <w:tblPrEx>
          <w:tblCellMar>
            <w:top w:w="0" w:type="dxa"/>
            <w:bottom w:w="0" w:type="dxa"/>
          </w:tblCellMar>
        </w:tblPrEx>
        <w:tc>
          <w:tcPr>
            <w:tcW w:w="1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Utilisateur</w:t>
            </w:r>
          </w:p>
        </w:tc>
        <w:tc>
          <w:tcPr>
            <w:tcW w:w="3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id, identifiant, mot de passe (haché Argon2), rôle, statut</w:t>
            </w:r>
          </w:p>
        </w:tc>
        <w:tc>
          <w:tcPr>
            <w:tcW w:w="35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possède des Autorisations ; auteur des Opérations journalisées</w:t>
            </w:r>
          </w:p>
        </w:tc>
      </w:tr>
      <w:tr w:rsidR="00FA3AB9" w:rsidRPr="00155BE4">
        <w:tblPrEx>
          <w:tblCellMar>
            <w:top w:w="0" w:type="dxa"/>
            <w:bottom w:w="0" w:type="dxa"/>
          </w:tblCellMar>
        </w:tblPrEx>
        <w:tc>
          <w:tcPr>
            <w:tcW w:w="1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Rôle / Autorisation</w:t>
            </w:r>
          </w:p>
        </w:tc>
        <w:tc>
          <w:tcPr>
            <w:tcW w:w="3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module, actions (voir/créer/modifier/supprimer)</w:t>
            </w:r>
          </w:p>
        </w:tc>
        <w:tc>
          <w:tcPr>
            <w:tcW w:w="35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lie Utilisateur et Module</w:t>
            </w:r>
          </w:p>
        </w:tc>
      </w:tr>
      <w:tr w:rsidR="00FA3AB9" w:rsidRPr="00155BE4">
        <w:tblPrEx>
          <w:tblCellMar>
            <w:top w:w="0" w:type="dxa"/>
            <w:bottom w:w="0" w:type="dxa"/>
          </w:tblCellMar>
        </w:tblPrEx>
        <w:tc>
          <w:tcPr>
            <w:tcW w:w="1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Bâtiment</w:t>
            </w:r>
          </w:p>
        </w:tc>
        <w:tc>
          <w:tcPr>
            <w:tcW w:w="3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id, nom/numéro, capacité, statut</w:t>
            </w:r>
          </w:p>
        </w:tc>
        <w:tc>
          <w:tcPr>
            <w:tcW w:w="35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contient des Bandes</w:t>
            </w:r>
          </w:p>
        </w:tc>
      </w:tr>
      <w:tr w:rsidR="00FA3AB9" w:rsidRPr="00155BE4">
        <w:tblPrEx>
          <w:tblCellMar>
            <w:top w:w="0" w:type="dxa"/>
            <w:bottom w:w="0" w:type="dxa"/>
          </w:tblCellMar>
        </w:tblPrEx>
        <w:tc>
          <w:tcPr>
            <w:tcW w:w="1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Bande</w:t>
            </w:r>
          </w:p>
        </w:tc>
        <w:tc>
          <w:tcPr>
            <w:tcW w:w="3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id, numéro, date d'arrivée, fournisseur, effectif reçu, prix d'achat, statut</w:t>
            </w:r>
          </w:p>
        </w:tc>
        <w:tc>
          <w:tcPr>
            <w:tcW w:w="35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appartient à un Bâtiment ; regroupe la production associée</w:t>
            </w:r>
          </w:p>
        </w:tc>
      </w:tr>
      <w:tr w:rsidR="00FA3AB9" w:rsidRPr="00155BE4">
        <w:tblPrEx>
          <w:tblCellMar>
            <w:top w:w="0" w:type="dxa"/>
            <w:bottom w:w="0" w:type="dxa"/>
          </w:tblCellMar>
        </w:tblPrEx>
        <w:tc>
          <w:tcPr>
            <w:tcW w:w="1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Alimentation</w:t>
            </w:r>
          </w:p>
        </w:tc>
        <w:tc>
          <w:tcPr>
            <w:tcW w:w="3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date, type, quantité</w:t>
            </w:r>
          </w:p>
        </w:tc>
        <w:tc>
          <w:tcPr>
            <w:tcW w:w="35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rattachée à une Bande ; décrémente un Stock</w:t>
            </w:r>
          </w:p>
        </w:tc>
      </w:tr>
      <w:tr w:rsidR="00FA3AB9" w:rsidRPr="00155BE4">
        <w:tblPrEx>
          <w:tblCellMar>
            <w:top w:w="0" w:type="dxa"/>
            <w:bottom w:w="0" w:type="dxa"/>
          </w:tblCellMar>
        </w:tblPrEx>
        <w:tc>
          <w:tcPr>
            <w:tcW w:w="1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Mortalité</w:t>
            </w:r>
          </w:p>
        </w:tc>
        <w:tc>
          <w:tcPr>
            <w:tcW w:w="3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date, nombre, cause, observations</w:t>
            </w:r>
          </w:p>
        </w:tc>
        <w:tc>
          <w:tcPr>
            <w:tcW w:w="35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rattachée à une Bande</w:t>
            </w:r>
          </w:p>
        </w:tc>
      </w:tr>
      <w:tr w:rsidR="00FA3AB9" w:rsidRPr="00155BE4">
        <w:tblPrEx>
          <w:tblCellMar>
            <w:top w:w="0" w:type="dxa"/>
            <w:bottom w:w="0" w:type="dxa"/>
          </w:tblCellMar>
        </w:tblPrEx>
        <w:tc>
          <w:tcPr>
            <w:tcW w:w="1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Traitement / Vaccin</w:t>
            </w:r>
          </w:p>
        </w:tc>
        <w:tc>
          <w:tcPr>
            <w:tcW w:w="3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date, produit, dose</w:t>
            </w:r>
          </w:p>
        </w:tc>
        <w:tc>
          <w:tcPr>
            <w:tcW w:w="35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rattaché à une Bande ; décrémente un Stock</w:t>
            </w:r>
          </w:p>
        </w:tc>
      </w:tr>
      <w:tr w:rsidR="00FA3AB9" w:rsidRPr="00155BE4">
        <w:tblPrEx>
          <w:tblCellMar>
            <w:top w:w="0" w:type="dxa"/>
            <w:bottom w:w="0" w:type="dxa"/>
          </w:tblCellMar>
        </w:tblPrEx>
        <w:tc>
          <w:tcPr>
            <w:tcW w:w="1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lastRenderedPageBreak/>
              <w:t>Stock</w:t>
            </w:r>
          </w:p>
        </w:tc>
        <w:tc>
          <w:tcPr>
            <w:tcW w:w="3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produit, catégorie, entrées, sorties, restant, seuil</w:t>
            </w:r>
          </w:p>
        </w:tc>
        <w:tc>
          <w:tcPr>
            <w:tcW w:w="35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mis à jour par Achat / Consommation</w:t>
            </w:r>
          </w:p>
        </w:tc>
      </w:tr>
      <w:tr w:rsidR="00FA3AB9" w:rsidRPr="00155BE4">
        <w:tblPrEx>
          <w:tblCellMar>
            <w:top w:w="0" w:type="dxa"/>
            <w:bottom w:w="0" w:type="dxa"/>
          </w:tblCellMar>
        </w:tblPrEx>
        <w:tc>
          <w:tcPr>
            <w:tcW w:w="1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Achat</w:t>
            </w:r>
          </w:p>
        </w:tc>
        <w:tc>
          <w:tcPr>
            <w:tcW w:w="3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date, fournisseur, description, quantité, PU, total, paiement</w:t>
            </w:r>
          </w:p>
        </w:tc>
        <w:tc>
          <w:tcPr>
            <w:tcW w:w="35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peut générer une entrée de Stock</w:t>
            </w:r>
          </w:p>
        </w:tc>
      </w:tr>
      <w:tr w:rsidR="00FA3AB9" w:rsidRPr="00155BE4">
        <w:tblPrEx>
          <w:tblCellMar>
            <w:top w:w="0" w:type="dxa"/>
            <w:bottom w:w="0" w:type="dxa"/>
          </w:tblCellMar>
        </w:tblPrEx>
        <w:tc>
          <w:tcPr>
            <w:tcW w:w="1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Vente</w:t>
            </w:r>
          </w:p>
        </w:tc>
        <w:tc>
          <w:tcPr>
            <w:tcW w:w="3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date, client, quantité, PU, total, paiement</w:t>
            </w:r>
          </w:p>
        </w:tc>
        <w:tc>
          <w:tcPr>
            <w:tcW w:w="35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rattachée à une Bande ; peut générer une Créance</w:t>
            </w:r>
          </w:p>
        </w:tc>
      </w:tr>
      <w:tr w:rsidR="00FA3AB9" w:rsidRPr="00155BE4">
        <w:tblPrEx>
          <w:tblCellMar>
            <w:top w:w="0" w:type="dxa"/>
            <w:bottom w:w="0" w:type="dxa"/>
          </w:tblCellMar>
        </w:tblPrEx>
        <w:tc>
          <w:tcPr>
            <w:tcW w:w="1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Créance</w:t>
            </w:r>
          </w:p>
        </w:tc>
        <w:tc>
          <w:tcPr>
            <w:tcW w:w="3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client, montant, échéance, montant payé, solde, statut</w:t>
            </w:r>
          </w:p>
        </w:tc>
        <w:tc>
          <w:tcPr>
            <w:tcW w:w="35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liée à une Vente</w:t>
            </w:r>
          </w:p>
        </w:tc>
      </w:tr>
      <w:tr w:rsidR="00FA3AB9" w:rsidRPr="00155BE4">
        <w:tblPrEx>
          <w:tblCellMar>
            <w:top w:w="0" w:type="dxa"/>
            <w:bottom w:w="0" w:type="dxa"/>
          </w:tblCellMar>
        </w:tblPrEx>
        <w:tc>
          <w:tcPr>
            <w:tcW w:w="1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Dépense / Recette</w:t>
            </w:r>
          </w:p>
        </w:tc>
        <w:tc>
          <w:tcPr>
            <w:tcW w:w="3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date, montant, catégorie, motif</w:t>
            </w:r>
          </w:p>
        </w:tc>
        <w:tc>
          <w:tcPr>
            <w:tcW w:w="35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alimente la Trésorerie</w:t>
            </w:r>
          </w:p>
        </w:tc>
      </w:tr>
      <w:tr w:rsidR="00FA3AB9" w:rsidRPr="00155BE4">
        <w:tblPrEx>
          <w:tblCellMar>
            <w:top w:w="0" w:type="dxa"/>
            <w:bottom w:w="0" w:type="dxa"/>
          </w:tblCellMar>
        </w:tblPrEx>
        <w:tc>
          <w:tcPr>
            <w:tcW w:w="1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Employé</w:t>
            </w:r>
          </w:p>
        </w:tc>
        <w:tc>
          <w:tcPr>
            <w:tcW w:w="3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nom, poste, salaire de référence, date d'entrée, statut</w:t>
            </w:r>
          </w:p>
        </w:tc>
        <w:tc>
          <w:tcPr>
            <w:tcW w:w="35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lié à un compte Utilisateur ; concerné par les Paiements de salaire</w:t>
            </w:r>
          </w:p>
        </w:tc>
      </w:tr>
      <w:tr w:rsidR="00FA3AB9" w:rsidRPr="00155BE4">
        <w:tblPrEx>
          <w:tblCellMar>
            <w:top w:w="0" w:type="dxa"/>
            <w:bottom w:w="0" w:type="dxa"/>
          </w:tblCellMar>
        </w:tblPrEx>
        <w:tc>
          <w:tcPr>
            <w:tcW w:w="1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Paiement de salaire</w:t>
            </w:r>
          </w:p>
        </w:tc>
        <w:tc>
          <w:tcPr>
            <w:tcW w:w="3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employé, période, montant, date, mode, statut</w:t>
            </w:r>
          </w:p>
        </w:tc>
        <w:tc>
          <w:tcPr>
            <w:tcW w:w="35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alimente la Comptabilité (charge de personnel)</w:t>
            </w:r>
          </w:p>
        </w:tc>
      </w:tr>
      <w:tr w:rsidR="00FA3AB9" w:rsidRPr="00155BE4">
        <w:tblPrEx>
          <w:tblCellMar>
            <w:top w:w="0" w:type="dxa"/>
            <w:bottom w:w="0" w:type="dxa"/>
          </w:tblCellMar>
        </w:tblPrEx>
        <w:tc>
          <w:tcPr>
            <w:tcW w:w="1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Journal d'audit</w:t>
            </w:r>
          </w:p>
        </w:tc>
        <w:tc>
          <w:tcPr>
            <w:tcW w:w="3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utilisateur, date, heure, action, module</w:t>
            </w:r>
          </w:p>
        </w:tc>
        <w:tc>
          <w:tcPr>
            <w:tcW w:w="35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référence toute Opération du système</w:t>
            </w:r>
          </w:p>
        </w:tc>
      </w:tr>
      <w:tr w:rsidR="00FA3AB9" w:rsidRPr="00155BE4">
        <w:tblPrEx>
          <w:tblCellMar>
            <w:top w:w="0" w:type="dxa"/>
            <w:bottom w:w="0" w:type="dxa"/>
          </w:tblCellMar>
        </w:tblPrEx>
        <w:tc>
          <w:tcPr>
            <w:tcW w:w="1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Demande de correction</w:t>
            </w:r>
          </w:p>
        </w:tc>
        <w:tc>
          <w:tcPr>
            <w:tcW w:w="3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donnée concernée, ancienne/nouvelle valeur, motif, statut</w:t>
            </w:r>
          </w:p>
        </w:tc>
        <w:tc>
          <w:tcPr>
            <w:tcW w:w="35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liée à une Opération et à un Administrateur validateur</w:t>
            </w:r>
          </w:p>
        </w:tc>
      </w:tr>
    </w:tbl>
    <w:p w:rsidR="00FA3AB9" w:rsidRPr="00155BE4" w:rsidRDefault="00E63565" w:rsidP="00155BE4">
      <w:pPr>
        <w:pStyle w:val="Titre1"/>
        <w:spacing w:before="420" w:after="200"/>
        <w:jc w:val="both"/>
        <w:rPr>
          <w:rFonts w:ascii="Times New Roman" w:hAnsi="Times New Roman" w:cs="Times New Roman"/>
          <w:sz w:val="28"/>
          <w:szCs w:val="28"/>
          <w:lang w:val="fr-FR"/>
        </w:rPr>
      </w:pPr>
      <w:r w:rsidRPr="00155BE4">
        <w:rPr>
          <w:rFonts w:ascii="Times New Roman" w:hAnsi="Times New Roman" w:cs="Times New Roman"/>
          <w:sz w:val="28"/>
          <w:szCs w:val="28"/>
          <w:lang w:val="fr-FR"/>
        </w:rPr>
        <w:t>10. Architecture et technologies</w:t>
      </w:r>
    </w:p>
    <w:p w:rsidR="00FA3AB9" w:rsidRPr="00155BE4" w:rsidRDefault="00E63565" w:rsidP="00155BE4">
      <w:pPr>
        <w:pStyle w:val="Titre2"/>
        <w:spacing w:before="30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10.1 Architecture générale</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Application web en trois couches : un client React exécuté dans le navigateur (interface responsive), un serveur applicatif Node.js/Express exposant une API REST sécurisée, et une base de données relationnelle PostgreSQL.</w:t>
      </w:r>
    </w:p>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10.2 Pile technologique</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900"/>
        <w:gridCol w:w="2600"/>
        <w:gridCol w:w="4850"/>
      </w:tblGrid>
      <w:tr w:rsidR="00FA3AB9" w:rsidRPr="00155BE4">
        <w:tblPrEx>
          <w:tblCellMar>
            <w:top w:w="0" w:type="dxa"/>
            <w:bottom w:w="0" w:type="dxa"/>
          </w:tblCellMar>
        </w:tblPrEx>
        <w:trPr>
          <w:tblHeader/>
        </w:trPr>
        <w:tc>
          <w:tcPr>
            <w:tcW w:w="19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Couche</w:t>
            </w:r>
          </w:p>
        </w:tc>
        <w:tc>
          <w:tcPr>
            <w:tcW w:w="26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Tec</w:t>
            </w:r>
            <w:r w:rsidRPr="00155BE4">
              <w:rPr>
                <w:rFonts w:ascii="Times New Roman" w:hAnsi="Times New Roman" w:cs="Times New Roman"/>
                <w:b/>
                <w:bCs/>
                <w:color w:val="FFFFFF"/>
                <w:sz w:val="24"/>
                <w:szCs w:val="24"/>
              </w:rPr>
              <w:t>hnologies</w:t>
            </w:r>
          </w:p>
        </w:tc>
        <w:tc>
          <w:tcPr>
            <w:tcW w:w="48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Rôle</w:t>
            </w:r>
          </w:p>
        </w:tc>
      </w:tr>
      <w:tr w:rsidR="00FA3AB9" w:rsidRPr="00155BE4">
        <w:tblPrEx>
          <w:tblCellMar>
            <w:top w:w="0" w:type="dxa"/>
            <w:bottom w:w="0" w:type="dxa"/>
          </w:tblCellMar>
        </w:tblPrEx>
        <w:tc>
          <w:tcPr>
            <w:tcW w:w="1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Frontend</w:t>
            </w:r>
          </w:p>
        </w:tc>
        <w:tc>
          <w:tcPr>
            <w:tcW w:w="26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React.js, Vite, React Router DOM, CSS natif (variables CSS)</w:t>
            </w:r>
          </w:p>
        </w:tc>
        <w:tc>
          <w:tcPr>
            <w:tcW w:w="48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Interface utilisateur en Single Page Application : tableaux de bord, formulaires, navigation sans rechargement, masquage visuel selon les droits.</w:t>
            </w:r>
          </w:p>
        </w:tc>
      </w:tr>
      <w:tr w:rsidR="00FA3AB9" w:rsidRPr="00155BE4">
        <w:tblPrEx>
          <w:tblCellMar>
            <w:top w:w="0" w:type="dxa"/>
            <w:bottom w:w="0" w:type="dxa"/>
          </w:tblCellMar>
        </w:tblPrEx>
        <w:tc>
          <w:tcPr>
            <w:tcW w:w="19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Backend / API</w:t>
            </w:r>
          </w:p>
        </w:tc>
        <w:tc>
          <w:tcPr>
            <w:tcW w:w="26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Node.js, Express.js, Nodemailer, Argon2, JWT</w:t>
            </w:r>
          </w:p>
        </w:tc>
        <w:tc>
          <w:tcPr>
            <w:tcW w:w="48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Exposition de l'API REST, application des règles métier, authentification et sécurité, envoi des e-mails automatiques, journalisation des actions.</w:t>
            </w:r>
          </w:p>
        </w:tc>
      </w:tr>
      <w:tr w:rsidR="00FA3AB9" w:rsidRPr="00155BE4">
        <w:tblPrEx>
          <w:tblCellMar>
            <w:top w:w="0" w:type="dxa"/>
            <w:bottom w:w="0" w:type="dxa"/>
          </w:tblCellMar>
        </w:tblPrEx>
        <w:tc>
          <w:tcPr>
            <w:tcW w:w="19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Base de données</w:t>
            </w:r>
          </w:p>
        </w:tc>
        <w:tc>
          <w:tcPr>
            <w:tcW w:w="26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PostgreSQL, driver pg, requêtes SQL brutes (sans ORM)</w:t>
            </w:r>
          </w:p>
        </w:tc>
        <w:tc>
          <w:tcPr>
            <w:tcW w:w="48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Stockage des données, calculs financiers par agrégats SQL, gestion des transactions et de l'intégrité référentielle (clés étrangères strictes).</w:t>
            </w:r>
          </w:p>
        </w:tc>
      </w:tr>
    </w:tbl>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10.3 Choix techniques structurants</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lastRenderedPageBreak/>
        <w:t>Absence d'ORM : requêtes SQL écrites directement pour garantir la précision des calculs financiers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Transactions PostgreSQL (BEGIN/COMMIT/ROLLBACK) sur toute opération multi-étapes, notamment les mouvements de stock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Clés étrangères strictes empêchant, p</w:t>
      </w:r>
      <w:r w:rsidRPr="00155BE4">
        <w:rPr>
          <w:rFonts w:ascii="Times New Roman" w:hAnsi="Times New Roman" w:cs="Times New Roman"/>
          <w:sz w:val="24"/>
          <w:szCs w:val="24"/>
          <w:lang w:val="fr-FR"/>
        </w:rPr>
        <w:t>ar exemple, la suppression d'un employé disposant de fiches de paie associées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Trésorerie calculée par agrégats SQL à la demande, jamais stockée en dur.</w:t>
      </w:r>
    </w:p>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10.4 Sauvegarde et exploitation</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Sauvegarde automatique quotidienne, conservée hors du serveur principa</w:t>
      </w:r>
      <w:r w:rsidRPr="00155BE4">
        <w:rPr>
          <w:rFonts w:ascii="Times New Roman" w:hAnsi="Times New Roman" w:cs="Times New Roman"/>
          <w:sz w:val="24"/>
          <w:szCs w:val="24"/>
          <w:lang w:val="fr-FR"/>
        </w:rPr>
        <w:t>l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Environnements séparés : test / recette et production.</w:t>
      </w:r>
    </w:p>
    <w:p w:rsidR="00FA3AB9" w:rsidRPr="00155BE4" w:rsidRDefault="00E63565" w:rsidP="00155BE4">
      <w:pPr>
        <w:pStyle w:val="Titre1"/>
        <w:spacing w:before="420" w:after="200"/>
        <w:jc w:val="both"/>
        <w:rPr>
          <w:rFonts w:ascii="Times New Roman" w:hAnsi="Times New Roman" w:cs="Times New Roman"/>
          <w:sz w:val="28"/>
          <w:szCs w:val="28"/>
          <w:lang w:val="fr-FR"/>
        </w:rPr>
      </w:pPr>
      <w:r w:rsidRPr="00155BE4">
        <w:rPr>
          <w:rFonts w:ascii="Times New Roman" w:hAnsi="Times New Roman" w:cs="Times New Roman"/>
          <w:sz w:val="28"/>
          <w:szCs w:val="28"/>
          <w:lang w:val="fr-FR"/>
        </w:rPr>
        <w:t>11. Lotissement et planning indicatif</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 développement est proposé par lots livrés progressivement, permettant une mise en service anticipée des fonctions prioritaires.</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1650"/>
        <w:gridCol w:w="5700"/>
        <w:gridCol w:w="2000"/>
      </w:tblGrid>
      <w:tr w:rsidR="00FA3AB9" w:rsidRPr="00155BE4">
        <w:tblPrEx>
          <w:tblCellMar>
            <w:top w:w="0" w:type="dxa"/>
            <w:bottom w:w="0" w:type="dxa"/>
          </w:tblCellMar>
        </w:tblPrEx>
        <w:trPr>
          <w:tblHeader/>
        </w:trPr>
        <w:tc>
          <w:tcPr>
            <w:tcW w:w="16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Lot</w:t>
            </w:r>
          </w:p>
        </w:tc>
        <w:tc>
          <w:tcPr>
            <w:tcW w:w="57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Contenu</w:t>
            </w:r>
          </w:p>
        </w:tc>
        <w:tc>
          <w:tcPr>
            <w:tcW w:w="20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Durée indicative</w:t>
            </w:r>
          </w:p>
        </w:tc>
      </w:tr>
      <w:tr w:rsidR="00FA3AB9" w:rsidRPr="00155BE4">
        <w:tblPrEx>
          <w:tblCellMar>
            <w:top w:w="0" w:type="dxa"/>
            <w:bottom w:w="0" w:type="dxa"/>
          </w:tblCellMar>
        </w:tblPrEx>
        <w:tc>
          <w:tcPr>
            <w:tcW w:w="16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Lot 0 — Cadrage</w:t>
            </w:r>
          </w:p>
        </w:tc>
        <w:tc>
          <w:tcPr>
            <w:tcW w:w="57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Validation du cahier des charges, maquettes, modèle de données</w:t>
            </w:r>
          </w:p>
        </w:tc>
        <w:tc>
          <w:tcPr>
            <w:tcW w:w="20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2 à 3 semaines</w:t>
            </w:r>
          </w:p>
        </w:tc>
      </w:tr>
      <w:tr w:rsidR="00FA3AB9" w:rsidRPr="00155BE4">
        <w:tblPrEx>
          <w:tblCellMar>
            <w:top w:w="0" w:type="dxa"/>
            <w:bottom w:w="0" w:type="dxa"/>
          </w:tblCellMar>
        </w:tblPrEx>
        <w:tc>
          <w:tcPr>
            <w:tcW w:w="16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Lot 1 — Socle</w:t>
            </w:r>
          </w:p>
        </w:tc>
        <w:tc>
          <w:tcPr>
            <w:tcW w:w="57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Authentification (JWT/Argon2), rôles/permissions, journal d'audit, tableau de bord</w:t>
            </w:r>
          </w:p>
        </w:tc>
        <w:tc>
          <w:tcPr>
            <w:tcW w:w="20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3 à 4 semaines</w:t>
            </w:r>
          </w:p>
        </w:tc>
      </w:tr>
      <w:tr w:rsidR="00FA3AB9" w:rsidRPr="00155BE4">
        <w:tblPrEx>
          <w:tblCellMar>
            <w:top w:w="0" w:type="dxa"/>
            <w:bottom w:w="0" w:type="dxa"/>
          </w:tblCellMar>
        </w:tblPrEx>
        <w:tc>
          <w:tcPr>
            <w:tcW w:w="16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Lot 2 — Production</w:t>
            </w:r>
          </w:p>
        </w:tc>
        <w:tc>
          <w:tcPr>
            <w:tcW w:w="57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Bâtiments, bandes, suivi quotidien (alimentation, mortalité, sanitaire)</w:t>
            </w:r>
          </w:p>
        </w:tc>
        <w:tc>
          <w:tcPr>
            <w:tcW w:w="20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4 à 5 semaines</w:t>
            </w:r>
          </w:p>
        </w:tc>
      </w:tr>
      <w:tr w:rsidR="00FA3AB9" w:rsidRPr="00155BE4">
        <w:tblPrEx>
          <w:tblCellMar>
            <w:top w:w="0" w:type="dxa"/>
            <w:bottom w:w="0" w:type="dxa"/>
          </w:tblCellMar>
        </w:tblPrEx>
        <w:tc>
          <w:tcPr>
            <w:tcW w:w="16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Lot 3 — Commercial &amp; finances</w:t>
            </w:r>
          </w:p>
        </w:tc>
        <w:tc>
          <w:tcPr>
            <w:tcW w:w="57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Stocks, achats, ventes, créances, comptabilité, trésorerie</w:t>
            </w:r>
          </w:p>
        </w:tc>
        <w:tc>
          <w:tcPr>
            <w:tcW w:w="20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4 à 5 semaines</w:t>
            </w:r>
          </w:p>
        </w:tc>
      </w:tr>
      <w:tr w:rsidR="00FA3AB9" w:rsidRPr="00155BE4">
        <w:tblPrEx>
          <w:tblCellMar>
            <w:top w:w="0" w:type="dxa"/>
            <w:bottom w:w="0" w:type="dxa"/>
          </w:tblCellMar>
        </w:tblPrEx>
        <w:tc>
          <w:tcPr>
            <w:tcW w:w="16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Lot 4 — RH &amp; contrôle</w:t>
            </w:r>
          </w:p>
        </w:tc>
        <w:tc>
          <w:tcPr>
            <w:tcW w:w="57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Salaires et paiements, verrouillage, workflow de correction, notifications</w:t>
            </w:r>
          </w:p>
        </w:tc>
        <w:tc>
          <w:tcPr>
            <w:tcW w:w="20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3 à 4 semaines</w:t>
            </w:r>
          </w:p>
        </w:tc>
      </w:tr>
      <w:tr w:rsidR="00FA3AB9" w:rsidRPr="00155BE4">
        <w:tblPrEx>
          <w:tblCellMar>
            <w:top w:w="0" w:type="dxa"/>
            <w:bottom w:w="0" w:type="dxa"/>
          </w:tblCellMar>
        </w:tblPrEx>
        <w:tc>
          <w:tcPr>
            <w:tcW w:w="16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Lot 5 — Rapports &amp; recette</w:t>
            </w:r>
          </w:p>
        </w:tc>
        <w:tc>
          <w:tcPr>
            <w:tcW w:w="57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Rapports et exports, tests, formation, mise en production</w:t>
            </w:r>
          </w:p>
        </w:tc>
        <w:tc>
          <w:tcPr>
            <w:tcW w:w="20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2 à 3 semaines</w:t>
            </w:r>
          </w:p>
        </w:tc>
      </w:tr>
    </w:tbl>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i/>
          <w:iCs/>
          <w:color w:val="595959"/>
          <w:sz w:val="24"/>
          <w:szCs w:val="24"/>
          <w:lang w:val="fr-FR"/>
        </w:rPr>
        <w:t>Durée totale indicative : environ 4 à 6 mois, selon la disponibilité pour les validations et la charge fonctionnelle réelle.</w:t>
      </w:r>
    </w:p>
    <w:p w:rsidR="00FA3AB9" w:rsidRPr="00155BE4" w:rsidRDefault="00E63565" w:rsidP="00155BE4">
      <w:pPr>
        <w:pStyle w:val="Titre1"/>
        <w:spacing w:before="420" w:after="200"/>
        <w:jc w:val="both"/>
        <w:rPr>
          <w:rFonts w:ascii="Times New Roman" w:hAnsi="Times New Roman" w:cs="Times New Roman"/>
          <w:sz w:val="28"/>
          <w:szCs w:val="28"/>
          <w:lang w:val="fr-FR"/>
        </w:rPr>
      </w:pPr>
      <w:r w:rsidRPr="00155BE4">
        <w:rPr>
          <w:rFonts w:ascii="Times New Roman" w:hAnsi="Times New Roman" w:cs="Times New Roman"/>
          <w:sz w:val="28"/>
          <w:szCs w:val="28"/>
          <w:lang w:val="fr-FR"/>
        </w:rPr>
        <w:t>12. Estimation budgétaire (indicative)</w:t>
      </w:r>
    </w:p>
    <w:p w:rsidR="00FA3AB9" w:rsidRPr="00155BE4" w:rsidRDefault="00E63565" w:rsidP="00155BE4">
      <w:pPr>
        <w:spacing w:after="15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Estimation de cadrage à affiner après devis détaillé du prestataire retenu.</w:t>
      </w:r>
    </w:p>
    <w:tbl>
      <w:tblPr>
        <w:tblW w:w="9350" w:type="dxa"/>
        <w:tblBorders>
          <w:top w:val="single" w:sz="2" w:space="0" w:color="AAAAAA"/>
          <w:left w:val="single" w:sz="2" w:space="0" w:color="AAAAAA"/>
          <w:bottom w:val="single" w:sz="2" w:space="0" w:color="AAAAAA"/>
          <w:right w:val="single" w:sz="2" w:space="0" w:color="AAAAAA"/>
          <w:insideH w:val="single" w:sz="2" w:space="0" w:color="AAAAAA"/>
          <w:insideV w:val="single" w:sz="2" w:space="0" w:color="AAAAAA"/>
        </w:tblBorders>
        <w:tblCellMar>
          <w:left w:w="10" w:type="dxa"/>
          <w:right w:w="10" w:type="dxa"/>
        </w:tblCellMar>
        <w:tblLook w:val="0000" w:firstRow="0" w:lastRow="0" w:firstColumn="0" w:lastColumn="0" w:noHBand="0" w:noVBand="0"/>
      </w:tblPr>
      <w:tblGrid>
        <w:gridCol w:w="2600"/>
        <w:gridCol w:w="4300"/>
        <w:gridCol w:w="2450"/>
      </w:tblGrid>
      <w:tr w:rsidR="00FA3AB9" w:rsidRPr="00155BE4">
        <w:tblPrEx>
          <w:tblCellMar>
            <w:top w:w="0" w:type="dxa"/>
            <w:bottom w:w="0" w:type="dxa"/>
          </w:tblCellMar>
        </w:tblPrEx>
        <w:trPr>
          <w:tblHeader/>
        </w:trPr>
        <w:tc>
          <w:tcPr>
            <w:tcW w:w="26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Poste</w:t>
            </w:r>
          </w:p>
        </w:tc>
        <w:tc>
          <w:tcPr>
            <w:tcW w:w="430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Nature</w:t>
            </w:r>
          </w:p>
        </w:tc>
        <w:tc>
          <w:tcPr>
            <w:tcW w:w="2450" w:type="dxa"/>
            <w:shd w:val="clear" w:color="auto" w:fill="2E5395"/>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b/>
                <w:bCs/>
                <w:color w:val="FFFFFF"/>
                <w:sz w:val="24"/>
                <w:szCs w:val="24"/>
              </w:rPr>
              <w:t>Est</w:t>
            </w:r>
            <w:r w:rsidRPr="00155BE4">
              <w:rPr>
                <w:rFonts w:ascii="Times New Roman" w:hAnsi="Times New Roman" w:cs="Times New Roman"/>
                <w:b/>
                <w:bCs/>
                <w:color w:val="FFFFFF"/>
                <w:sz w:val="24"/>
                <w:szCs w:val="24"/>
              </w:rPr>
              <w:t>imation</w:t>
            </w:r>
          </w:p>
        </w:tc>
      </w:tr>
      <w:tr w:rsidR="00FA3AB9" w:rsidRPr="00155BE4">
        <w:tblPrEx>
          <w:tblCellMar>
            <w:top w:w="0" w:type="dxa"/>
            <w:bottom w:w="0" w:type="dxa"/>
          </w:tblCellMar>
        </w:tblPrEx>
        <w:tc>
          <w:tcPr>
            <w:tcW w:w="26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Conception &amp; développement</w:t>
            </w:r>
          </w:p>
        </w:tc>
        <w:tc>
          <w:tcPr>
            <w:tcW w:w="43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Réalisation des lots 0 à 5</w:t>
            </w:r>
          </w:p>
        </w:tc>
        <w:tc>
          <w:tcPr>
            <w:tcW w:w="2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À chiffrer par le prestataire</w:t>
            </w:r>
          </w:p>
        </w:tc>
      </w:tr>
      <w:tr w:rsidR="00FA3AB9" w:rsidRPr="00155BE4">
        <w:tblPrEx>
          <w:tblCellMar>
            <w:top w:w="0" w:type="dxa"/>
            <w:bottom w:w="0" w:type="dxa"/>
          </w:tblCellMar>
        </w:tblPrEx>
        <w:tc>
          <w:tcPr>
            <w:tcW w:w="26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Hébergement</w:t>
            </w:r>
          </w:p>
        </w:tc>
        <w:tc>
          <w:tcPr>
            <w:tcW w:w="43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t>Serveur (cloud ou local), annuel</w:t>
            </w:r>
          </w:p>
        </w:tc>
        <w:tc>
          <w:tcPr>
            <w:tcW w:w="2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Récurrent</w:t>
            </w:r>
          </w:p>
        </w:tc>
      </w:tr>
      <w:tr w:rsidR="00FA3AB9" w:rsidRPr="00155BE4">
        <w:tblPrEx>
          <w:tblCellMar>
            <w:top w:w="0" w:type="dxa"/>
            <w:bottom w:w="0" w:type="dxa"/>
          </w:tblCellMar>
        </w:tblPrEx>
        <w:tc>
          <w:tcPr>
            <w:tcW w:w="26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color w:val="000000"/>
                <w:sz w:val="24"/>
                <w:szCs w:val="24"/>
                <w:lang w:val="fr-FR"/>
              </w:rPr>
              <w:lastRenderedPageBreak/>
              <w:t>Nom de domaine &amp; certificat HTTPS</w:t>
            </w:r>
          </w:p>
        </w:tc>
        <w:tc>
          <w:tcPr>
            <w:tcW w:w="43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Annuel</w:t>
            </w:r>
          </w:p>
        </w:tc>
        <w:tc>
          <w:tcPr>
            <w:tcW w:w="2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Faible</w:t>
            </w:r>
          </w:p>
        </w:tc>
      </w:tr>
      <w:tr w:rsidR="00FA3AB9" w:rsidRPr="00155BE4">
        <w:tblPrEx>
          <w:tblCellMar>
            <w:top w:w="0" w:type="dxa"/>
            <w:bottom w:w="0" w:type="dxa"/>
          </w:tblCellMar>
        </w:tblPrEx>
        <w:tc>
          <w:tcPr>
            <w:tcW w:w="26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Formation des utilisateurs</w:t>
            </w:r>
          </w:p>
        </w:tc>
        <w:tc>
          <w:tcPr>
            <w:tcW w:w="430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Sessions par rôle</w:t>
            </w:r>
          </w:p>
        </w:tc>
        <w:tc>
          <w:tcPr>
            <w:tcW w:w="2450" w:type="dxa"/>
            <w:shd w:val="clear" w:color="auto" w:fill="DCE6F1"/>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Forfait</w:t>
            </w:r>
          </w:p>
        </w:tc>
      </w:tr>
      <w:tr w:rsidR="00FA3AB9" w:rsidRPr="00155BE4">
        <w:tblPrEx>
          <w:tblCellMar>
            <w:top w:w="0" w:type="dxa"/>
            <w:bottom w:w="0" w:type="dxa"/>
          </w:tblCellMar>
        </w:tblPrEx>
        <w:tc>
          <w:tcPr>
            <w:tcW w:w="26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Maintenance &amp; support</w:t>
            </w:r>
          </w:p>
        </w:tc>
        <w:tc>
          <w:tcPr>
            <w:tcW w:w="430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Corrective et évolutive, annuel</w:t>
            </w:r>
          </w:p>
        </w:tc>
        <w:tc>
          <w:tcPr>
            <w:tcW w:w="2450" w:type="dxa"/>
            <w:tcMar>
              <w:top w:w="80" w:type="dxa"/>
              <w:left w:w="100" w:type="dxa"/>
              <w:bottom w:w="80" w:type="dxa"/>
              <w:right w:w="100" w:type="dxa"/>
            </w:tcMar>
            <w:vAlign w:val="center"/>
          </w:tcPr>
          <w:p w:rsidR="00FA3AB9" w:rsidRPr="00155BE4" w:rsidRDefault="00E63565" w:rsidP="00155BE4">
            <w:pPr>
              <w:jc w:val="both"/>
              <w:rPr>
                <w:rFonts w:ascii="Times New Roman" w:hAnsi="Times New Roman" w:cs="Times New Roman"/>
                <w:sz w:val="24"/>
                <w:szCs w:val="24"/>
              </w:rPr>
            </w:pPr>
            <w:r w:rsidRPr="00155BE4">
              <w:rPr>
                <w:rFonts w:ascii="Times New Roman" w:hAnsi="Times New Roman" w:cs="Times New Roman"/>
                <w:color w:val="000000"/>
                <w:sz w:val="24"/>
                <w:szCs w:val="24"/>
              </w:rPr>
              <w:t>% du coût projet / an</w:t>
            </w:r>
          </w:p>
        </w:tc>
      </w:tr>
      <w:tr w:rsidR="00FA3AB9" w:rsidRPr="00155BE4">
        <w:tblPrEx>
          <w:tblBorders>
            <w:top w:val="single" w:sz="4" w:space="0" w:color="8EA9C1"/>
            <w:left w:val="single" w:sz="4" w:space="0" w:color="8EA9C1"/>
            <w:bottom w:val="single" w:sz="4" w:space="0" w:color="8EA9C1"/>
            <w:right w:val="single" w:sz="4" w:space="0" w:color="8EA9C1"/>
            <w:insideH w:val="single" w:sz="4" w:space="0" w:color="auto"/>
            <w:insideV w:val="single" w:sz="4" w:space="0" w:color="auto"/>
          </w:tblBorders>
          <w:tblCellMar>
            <w:top w:w="0" w:type="dxa"/>
            <w:bottom w:w="0" w:type="dxa"/>
          </w:tblCellMar>
        </w:tblPrEx>
        <w:tc>
          <w:tcPr>
            <w:tcW w:w="9350" w:type="dxa"/>
            <w:gridSpan w:val="3"/>
            <w:shd w:val="clear" w:color="auto" w:fill="F2F2F2"/>
            <w:tcMar>
              <w:top w:w="160" w:type="dxa"/>
              <w:left w:w="200" w:type="dxa"/>
              <w:bottom w:w="160" w:type="dxa"/>
              <w:right w:w="200" w:type="dxa"/>
            </w:tcMar>
          </w:tcPr>
          <w:p w:rsidR="00FA3AB9" w:rsidRPr="00155BE4" w:rsidRDefault="00E63565" w:rsidP="00155BE4">
            <w:pPr>
              <w:spacing w:after="100"/>
              <w:jc w:val="both"/>
              <w:rPr>
                <w:rFonts w:ascii="Times New Roman" w:hAnsi="Times New Roman" w:cs="Times New Roman"/>
                <w:sz w:val="24"/>
                <w:szCs w:val="24"/>
                <w:lang w:val="fr-FR"/>
              </w:rPr>
            </w:pPr>
            <w:r w:rsidRPr="00155BE4">
              <w:rPr>
                <w:rFonts w:ascii="Times New Roman" w:hAnsi="Times New Roman" w:cs="Times New Roman"/>
                <w:b/>
                <w:bCs/>
                <w:color w:val="1F3864"/>
                <w:sz w:val="24"/>
                <w:szCs w:val="24"/>
                <w:lang w:val="fr-FR"/>
              </w:rPr>
              <w:t>Recommandation</w:t>
            </w:r>
          </w:p>
          <w:p w:rsidR="00FA3AB9" w:rsidRPr="00155BE4" w:rsidRDefault="00E63565" w:rsidP="00155BE4">
            <w:pPr>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Demander au moins deux à trois devis sur la base de ce cahier des charges, et exiger un découpage par lot avec validation à la livraison de chaque lot recetté. Cela réduit le risque et facilite le pilotage du projet.</w:t>
            </w:r>
          </w:p>
        </w:tc>
      </w:tr>
    </w:tbl>
    <w:p w:rsidR="00FA3AB9" w:rsidRPr="00155BE4" w:rsidRDefault="00E63565" w:rsidP="00155BE4">
      <w:pPr>
        <w:pStyle w:val="Titre1"/>
        <w:spacing w:before="420" w:after="200"/>
        <w:jc w:val="both"/>
        <w:rPr>
          <w:rFonts w:ascii="Times New Roman" w:hAnsi="Times New Roman" w:cs="Times New Roman"/>
          <w:sz w:val="28"/>
          <w:szCs w:val="28"/>
          <w:lang w:val="fr-FR"/>
        </w:rPr>
      </w:pPr>
      <w:r w:rsidRPr="00155BE4">
        <w:rPr>
          <w:rFonts w:ascii="Times New Roman" w:hAnsi="Times New Roman" w:cs="Times New Roman"/>
          <w:sz w:val="28"/>
          <w:szCs w:val="28"/>
          <w:lang w:val="fr-FR"/>
        </w:rPr>
        <w:t>13. Livrables, recette et maintenance</w:t>
      </w:r>
    </w:p>
    <w:p w:rsidR="00FA3AB9" w:rsidRPr="00155BE4" w:rsidRDefault="00E63565" w:rsidP="00155BE4">
      <w:pPr>
        <w:pStyle w:val="Titre2"/>
        <w:spacing w:before="30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13.1 Livrables attendus</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Application déployée et fonctionnelle (environnements de test et de production)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Code source documenté et droits de propriété/licence définis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Documentation utilisateur par rôle et documentation technique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 xml:space="preserve">Scripts de création et </w:t>
      </w:r>
      <w:r w:rsidRPr="00155BE4">
        <w:rPr>
          <w:rFonts w:ascii="Times New Roman" w:hAnsi="Times New Roman" w:cs="Times New Roman"/>
          <w:sz w:val="24"/>
          <w:szCs w:val="24"/>
          <w:lang w:val="fr-FR"/>
        </w:rPr>
        <w:t>de migration de la base PostgreSQL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rPr>
      </w:pPr>
      <w:r w:rsidRPr="00155BE4">
        <w:rPr>
          <w:rFonts w:ascii="Times New Roman" w:hAnsi="Times New Roman" w:cs="Times New Roman"/>
          <w:sz w:val="24"/>
          <w:szCs w:val="24"/>
        </w:rPr>
        <w:t>Procédure de sauvegarde / restauration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Séances de formation des utilisateurs par profil.</w:t>
      </w:r>
    </w:p>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13.2 Critères d'acceptation (recette)</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Tous les modules du chapitre 5 fonctionnent conformément aux règles de gestion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 verrou</w:t>
      </w:r>
      <w:r w:rsidRPr="00155BE4">
        <w:rPr>
          <w:rFonts w:ascii="Times New Roman" w:hAnsi="Times New Roman" w:cs="Times New Roman"/>
          <w:sz w:val="24"/>
          <w:szCs w:val="24"/>
          <w:lang w:val="fr-FR"/>
        </w:rPr>
        <w:t>illage et le workflow de correction fonctionnent : aucune donnée validée n'est modifiable directement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 journal d'audit trace toutes les opérations listées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La matrice de permissions (chapitre 6) est respectée pour chaque rôle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Les rapports s'exporten</w:t>
      </w:r>
      <w:r w:rsidRPr="00155BE4">
        <w:rPr>
          <w:rFonts w:ascii="Times New Roman" w:hAnsi="Times New Roman" w:cs="Times New Roman"/>
          <w:sz w:val="24"/>
          <w:szCs w:val="24"/>
          <w:lang w:val="fr-FR"/>
        </w:rPr>
        <w:t>t en PDF et Word avec logo, en-tête, pied de page et date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Les notifications (stocks, trésorerie, créances, salaires) se déclenchent selon les seuils configurés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Le module Salaires enregistre les paiements et calcule correctement la masse salariale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 xml:space="preserve">La </w:t>
      </w:r>
      <w:r w:rsidRPr="00155BE4">
        <w:rPr>
          <w:rFonts w:ascii="Times New Roman" w:hAnsi="Times New Roman" w:cs="Times New Roman"/>
          <w:sz w:val="24"/>
          <w:szCs w:val="24"/>
          <w:lang w:val="fr-FR"/>
        </w:rPr>
        <w:t>sauvegarde automatique et une restauration test sont validées.</w:t>
      </w:r>
    </w:p>
    <w:p w:rsidR="00FA3AB9" w:rsidRPr="00155BE4" w:rsidRDefault="00E63565" w:rsidP="00155BE4">
      <w:pPr>
        <w:pStyle w:val="Titre2"/>
        <w:spacing w:before="300"/>
        <w:jc w:val="both"/>
        <w:rPr>
          <w:rFonts w:ascii="Times New Roman" w:hAnsi="Times New Roman" w:cs="Times New Roman"/>
          <w:sz w:val="24"/>
          <w:szCs w:val="24"/>
        </w:rPr>
      </w:pPr>
      <w:r w:rsidRPr="00155BE4">
        <w:rPr>
          <w:rFonts w:ascii="Times New Roman" w:hAnsi="Times New Roman" w:cs="Times New Roman"/>
          <w:sz w:val="24"/>
          <w:szCs w:val="24"/>
        </w:rPr>
        <w:t>13.3 Garantie et maintenance</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Période de garantie après mise en production (correction des anomalies sans surcoût) ;</w:t>
      </w:r>
    </w:p>
    <w:p w:rsidR="00FA3AB9" w:rsidRPr="00155BE4" w:rsidRDefault="00E63565" w:rsidP="00155BE4">
      <w:pPr>
        <w:pStyle w:val="Paragraphedeliste"/>
        <w:numPr>
          <w:ilvl w:val="0"/>
          <w:numId w:val="2"/>
        </w:numPr>
        <w:spacing w:after="6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Contrat de maintenance corrective et évolutive à définir (délais d'interventi</w:t>
      </w:r>
      <w:r w:rsidRPr="00155BE4">
        <w:rPr>
          <w:rFonts w:ascii="Times New Roman" w:hAnsi="Times New Roman" w:cs="Times New Roman"/>
          <w:sz w:val="24"/>
          <w:szCs w:val="24"/>
          <w:lang w:val="fr-FR"/>
        </w:rPr>
        <w:t>on, disponibilité du support).</w:t>
      </w:r>
    </w:p>
    <w:p w:rsidR="00FA3AB9" w:rsidRPr="00155BE4" w:rsidRDefault="00E63565" w:rsidP="00155BE4">
      <w:pPr>
        <w:pStyle w:val="Titre2"/>
        <w:spacing w:before="300"/>
        <w:jc w:val="both"/>
        <w:rPr>
          <w:rFonts w:ascii="Times New Roman" w:hAnsi="Times New Roman" w:cs="Times New Roman"/>
          <w:sz w:val="24"/>
          <w:szCs w:val="24"/>
          <w:lang w:val="fr-FR"/>
        </w:rPr>
      </w:pPr>
      <w:r w:rsidRPr="00155BE4">
        <w:rPr>
          <w:rFonts w:ascii="Times New Roman" w:hAnsi="Times New Roman" w:cs="Times New Roman"/>
          <w:sz w:val="24"/>
          <w:szCs w:val="24"/>
          <w:lang w:val="fr-FR"/>
        </w:rPr>
        <w:t>13.4 Objectif général</w:t>
      </w:r>
      <w:bookmarkStart w:id="0" w:name="_GoBack"/>
      <w:bookmarkEnd w:id="0"/>
    </w:p>
    <w:p w:rsidR="00FA3AB9" w:rsidRPr="00155BE4" w:rsidRDefault="00E63565" w:rsidP="00155BE4">
      <w:pPr>
        <w:spacing w:after="150"/>
        <w:jc w:val="both"/>
        <w:rPr>
          <w:rFonts w:ascii="Times New Roman" w:hAnsi="Times New Roman" w:cs="Times New Roman"/>
          <w:sz w:val="28"/>
          <w:szCs w:val="28"/>
          <w:lang w:val="fr-FR"/>
        </w:rPr>
      </w:pPr>
      <w:r w:rsidRPr="00155BE4">
        <w:rPr>
          <w:rFonts w:ascii="Times New Roman" w:hAnsi="Times New Roman" w:cs="Times New Roman"/>
          <w:sz w:val="24"/>
          <w:szCs w:val="24"/>
          <w:lang w:val="fr-FR"/>
        </w:rPr>
        <w:t xml:space="preserve">ComptaOne SARL doit offrir une gestion professionnelle de la ferme avicole en garantissant la sécurité des données, la confidentialité des informations sensibles, la traçabilité complète des opérations, </w:t>
      </w:r>
      <w:r w:rsidRPr="00155BE4">
        <w:rPr>
          <w:rFonts w:ascii="Times New Roman" w:hAnsi="Times New Roman" w:cs="Times New Roman"/>
          <w:sz w:val="24"/>
          <w:szCs w:val="24"/>
          <w:lang w:val="fr-FR"/>
        </w:rPr>
        <w:t xml:space="preserve">la fiabilité des données comptables et une gestion simplifiée de la production. </w:t>
      </w:r>
      <w:r w:rsidRPr="00155BE4">
        <w:rPr>
          <w:rFonts w:ascii="Times New Roman" w:hAnsi="Times New Roman" w:cs="Times New Roman"/>
          <w:sz w:val="24"/>
          <w:szCs w:val="24"/>
          <w:lang w:val="fr-FR"/>
        </w:rPr>
        <w:lastRenderedPageBreak/>
        <w:t>L'administrateur conserve le contrôle total du système, tandis que chaque utilisateur n'accède qu'aux fonctionnalités et informations qui lui ont été explicite</w:t>
      </w:r>
      <w:r w:rsidRPr="00155BE4">
        <w:rPr>
          <w:rFonts w:ascii="Times New Roman" w:hAnsi="Times New Roman" w:cs="Times New Roman"/>
          <w:sz w:val="28"/>
          <w:szCs w:val="28"/>
          <w:lang w:val="fr-FR"/>
        </w:rPr>
        <w:t>ment autorisées.</w:t>
      </w:r>
    </w:p>
    <w:sectPr w:rsidR="00FA3AB9" w:rsidRPr="00155BE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3565" w:rsidRDefault="00E63565">
      <w:r>
        <w:separator/>
      </w:r>
    </w:p>
  </w:endnote>
  <w:endnote w:type="continuationSeparator" w:id="0">
    <w:p w:rsidR="00E63565" w:rsidRDefault="00E63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3AB9" w:rsidRDefault="00E63565">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155BE4">
      <w:rPr>
        <w:color w:val="595959"/>
        <w:sz w:val="16"/>
        <w:szCs w:val="16"/>
      </w:rPr>
      <w:fldChar w:fldCharType="separate"/>
    </w:r>
    <w:r w:rsidR="002D47C8">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sidR="00155BE4">
      <w:rPr>
        <w:color w:val="595959"/>
        <w:sz w:val="16"/>
        <w:szCs w:val="16"/>
      </w:rPr>
      <w:fldChar w:fldCharType="separate"/>
    </w:r>
    <w:r w:rsidR="002D47C8">
      <w:rPr>
        <w:noProof/>
        <w:color w:val="595959"/>
        <w:sz w:val="16"/>
        <w:szCs w:val="16"/>
      </w:rPr>
      <w:t>14</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3565" w:rsidRDefault="00E63565">
      <w:r>
        <w:separator/>
      </w:r>
    </w:p>
  </w:footnote>
  <w:footnote w:type="continuationSeparator" w:id="0">
    <w:p w:rsidR="00E63565" w:rsidRDefault="00E6356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3AB9" w:rsidRPr="00155BE4" w:rsidRDefault="00E63565">
    <w:pPr>
      <w:jc w:val="right"/>
      <w:rPr>
        <w:rFonts w:ascii="Times New Roman" w:hAnsi="Times New Roman" w:cs="Times New Roman"/>
        <w:sz w:val="20"/>
        <w:szCs w:val="20"/>
        <w:lang w:val="fr-FR"/>
      </w:rPr>
    </w:pPr>
    <w:r w:rsidRPr="00155BE4">
      <w:rPr>
        <w:rFonts w:ascii="Times New Roman" w:hAnsi="Times New Roman" w:cs="Times New Roman"/>
        <w:color w:val="595959"/>
        <w:sz w:val="20"/>
        <w:szCs w:val="20"/>
        <w:lang w:val="fr-FR"/>
      </w:rPr>
      <w:t xml:space="preserve"> Cahier des charges ComptaOne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591056"/>
    <w:multiLevelType w:val="hybridMultilevel"/>
    <w:tmpl w:val="DDACCD54"/>
    <w:lvl w:ilvl="0" w:tplc="CF1ABFDA">
      <w:start w:val="1"/>
      <w:numFmt w:val="bullet"/>
      <w:lvlText w:val="●"/>
      <w:lvlJc w:val="left"/>
      <w:pPr>
        <w:ind w:left="720" w:hanging="360"/>
      </w:pPr>
    </w:lvl>
    <w:lvl w:ilvl="1" w:tplc="90E2CFFA">
      <w:start w:val="1"/>
      <w:numFmt w:val="bullet"/>
      <w:lvlText w:val="○"/>
      <w:lvlJc w:val="left"/>
      <w:pPr>
        <w:ind w:left="1440" w:hanging="360"/>
      </w:pPr>
    </w:lvl>
    <w:lvl w:ilvl="2" w:tplc="2D1E65E8">
      <w:start w:val="1"/>
      <w:numFmt w:val="bullet"/>
      <w:lvlText w:val="■"/>
      <w:lvlJc w:val="left"/>
      <w:pPr>
        <w:ind w:left="2160" w:hanging="360"/>
      </w:pPr>
    </w:lvl>
    <w:lvl w:ilvl="3" w:tplc="D78A4012">
      <w:start w:val="1"/>
      <w:numFmt w:val="bullet"/>
      <w:lvlText w:val="●"/>
      <w:lvlJc w:val="left"/>
      <w:pPr>
        <w:ind w:left="2880" w:hanging="360"/>
      </w:pPr>
    </w:lvl>
    <w:lvl w:ilvl="4" w:tplc="7B665B7E">
      <w:start w:val="1"/>
      <w:numFmt w:val="bullet"/>
      <w:lvlText w:val="○"/>
      <w:lvlJc w:val="left"/>
      <w:pPr>
        <w:ind w:left="3600" w:hanging="360"/>
      </w:pPr>
    </w:lvl>
    <w:lvl w:ilvl="5" w:tplc="7D246B78">
      <w:start w:val="1"/>
      <w:numFmt w:val="bullet"/>
      <w:lvlText w:val="■"/>
      <w:lvlJc w:val="left"/>
      <w:pPr>
        <w:ind w:left="4320" w:hanging="360"/>
      </w:pPr>
    </w:lvl>
    <w:lvl w:ilvl="6" w:tplc="3EA6C822">
      <w:start w:val="1"/>
      <w:numFmt w:val="bullet"/>
      <w:lvlText w:val="●"/>
      <w:lvlJc w:val="left"/>
      <w:pPr>
        <w:ind w:left="5040" w:hanging="360"/>
      </w:pPr>
    </w:lvl>
    <w:lvl w:ilvl="7" w:tplc="35B8506E">
      <w:start w:val="1"/>
      <w:numFmt w:val="bullet"/>
      <w:lvlText w:val="●"/>
      <w:lvlJc w:val="left"/>
      <w:pPr>
        <w:ind w:left="5760" w:hanging="360"/>
      </w:pPr>
    </w:lvl>
    <w:lvl w:ilvl="8" w:tplc="1B9A42C4">
      <w:start w:val="1"/>
      <w:numFmt w:val="bullet"/>
      <w:lvlText w:val="●"/>
      <w:lvlJc w:val="left"/>
      <w:pPr>
        <w:ind w:left="6480" w:hanging="360"/>
      </w:pPr>
    </w:lvl>
  </w:abstractNum>
  <w:abstractNum w:abstractNumId="1" w15:restartNumberingAfterBreak="0">
    <w:nsid w:val="6F9E59C5"/>
    <w:multiLevelType w:val="hybridMultilevel"/>
    <w:tmpl w:val="30581B6A"/>
    <w:lvl w:ilvl="0" w:tplc="062C04FA">
      <w:start w:val="1"/>
      <w:numFmt w:val="bullet"/>
      <w:lvlText w:val="•"/>
      <w:lvlJc w:val="left"/>
      <w:pPr>
        <w:ind w:left="420" w:hanging="260"/>
      </w:pPr>
    </w:lvl>
    <w:lvl w:ilvl="1" w:tplc="4C96655E">
      <w:start w:val="1"/>
      <w:numFmt w:val="bullet"/>
      <w:lvlText w:val="–"/>
      <w:lvlJc w:val="left"/>
      <w:pPr>
        <w:ind w:left="840" w:hanging="260"/>
      </w:pPr>
    </w:lvl>
    <w:lvl w:ilvl="2" w:tplc="2806D184">
      <w:numFmt w:val="decimal"/>
      <w:lvlText w:val=""/>
      <w:lvlJc w:val="left"/>
    </w:lvl>
    <w:lvl w:ilvl="3" w:tplc="5624FB02">
      <w:numFmt w:val="decimal"/>
      <w:lvlText w:val=""/>
      <w:lvlJc w:val="left"/>
    </w:lvl>
    <w:lvl w:ilvl="4" w:tplc="FF3A152E">
      <w:numFmt w:val="decimal"/>
      <w:lvlText w:val=""/>
      <w:lvlJc w:val="left"/>
    </w:lvl>
    <w:lvl w:ilvl="5" w:tplc="C94AD280">
      <w:numFmt w:val="decimal"/>
      <w:lvlText w:val=""/>
      <w:lvlJc w:val="left"/>
    </w:lvl>
    <w:lvl w:ilvl="6" w:tplc="F218334E">
      <w:numFmt w:val="decimal"/>
      <w:lvlText w:val=""/>
      <w:lvlJc w:val="left"/>
    </w:lvl>
    <w:lvl w:ilvl="7" w:tplc="7F625004">
      <w:numFmt w:val="decimal"/>
      <w:lvlText w:val=""/>
      <w:lvlJc w:val="left"/>
    </w:lvl>
    <w:lvl w:ilvl="8" w:tplc="FE082EE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AB9"/>
    <w:rsid w:val="00155BE4"/>
    <w:rsid w:val="002D47C8"/>
    <w:rsid w:val="00474527"/>
    <w:rsid w:val="00E63565"/>
    <w:rsid w:val="00FA3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ABDF5"/>
  <w15:docId w15:val="{78CB6517-F167-4A74-B734-CB493935D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6262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bottom w:val="single" w:sz="6" w:space="4" w:color="1F3864"/>
      </w:pBdr>
      <w:spacing w:before="380" w:after="180"/>
      <w:outlineLvl w:val="0"/>
    </w:pPr>
    <w:rPr>
      <w:b/>
      <w:bCs/>
      <w:color w:val="1F3864"/>
      <w:sz w:val="30"/>
      <w:szCs w:val="30"/>
    </w:rPr>
  </w:style>
  <w:style w:type="paragraph" w:styleId="Titre2">
    <w:name w:val="heading 2"/>
    <w:qFormat/>
    <w:pPr>
      <w:spacing w:before="280" w:after="140"/>
      <w:outlineLvl w:val="1"/>
    </w:pPr>
    <w:rPr>
      <w:b/>
      <w:bCs/>
      <w:color w:val="2E5395"/>
      <w:sz w:val="26"/>
      <w:szCs w:val="26"/>
    </w:rPr>
  </w:style>
  <w:style w:type="paragraph" w:styleId="Titre3">
    <w:name w:val="heading 3"/>
    <w:qFormat/>
    <w:pPr>
      <w:spacing w:before="200" w:after="100"/>
      <w:outlineLvl w:val="2"/>
    </w:pPr>
    <w:rPr>
      <w:b/>
      <w:bCs/>
      <w:color w:val="404040"/>
      <w:sz w:val="23"/>
      <w:szCs w:val="23"/>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155BE4"/>
    <w:pPr>
      <w:tabs>
        <w:tab w:val="center" w:pos="4703"/>
        <w:tab w:val="right" w:pos="9406"/>
      </w:tabs>
    </w:pPr>
  </w:style>
  <w:style w:type="character" w:customStyle="1" w:styleId="En-tteCar">
    <w:name w:val="En-tête Car"/>
    <w:basedOn w:val="Policepardfaut"/>
    <w:link w:val="En-tte"/>
    <w:uiPriority w:val="99"/>
    <w:rsid w:val="00155BE4"/>
  </w:style>
  <w:style w:type="paragraph" w:styleId="Pieddepage">
    <w:name w:val="footer"/>
    <w:basedOn w:val="Normal"/>
    <w:link w:val="PieddepageCar"/>
    <w:uiPriority w:val="99"/>
    <w:unhideWhenUsed/>
    <w:rsid w:val="00155BE4"/>
    <w:pPr>
      <w:tabs>
        <w:tab w:val="center" w:pos="4703"/>
        <w:tab w:val="right" w:pos="9406"/>
      </w:tabs>
    </w:pPr>
  </w:style>
  <w:style w:type="character" w:customStyle="1" w:styleId="PieddepageCar">
    <w:name w:val="Pied de page Car"/>
    <w:basedOn w:val="Policepardfaut"/>
    <w:link w:val="Pieddepage"/>
    <w:uiPriority w:val="99"/>
    <w:rsid w:val="00155B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3649</Words>
  <Characters>20803</Characters>
  <Application>Microsoft Office Word</Application>
  <DocSecurity>0</DocSecurity>
  <Lines>173</Lines>
  <Paragraphs>48</Paragraphs>
  <ScaleCrop>false</ScaleCrop>
  <HeadingPairs>
    <vt:vector size="2" baseType="variant">
      <vt:variant>
        <vt:lpstr>Titre</vt:lpstr>
      </vt:variant>
      <vt:variant>
        <vt:i4>1</vt:i4>
      </vt:variant>
    </vt:vector>
  </HeadingPairs>
  <TitlesOfParts>
    <vt:vector size="1" baseType="lpstr">
      <vt:lpstr>Cahier des Charges - ComptaOne SARL</vt:lpstr>
    </vt:vector>
  </TitlesOfParts>
  <Company/>
  <LinksUpToDate>false</LinksUpToDate>
  <CharactersWithSpaces>24404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ComptaOne SARL</dc:title>
  <dc:creator>ComptaOne SARL</dc:creator>
  <cp:lastModifiedBy>LAVERDURE</cp:lastModifiedBy>
  <cp:revision>2</cp:revision>
  <dcterms:created xsi:type="dcterms:W3CDTF">2026-08-21T10:38:00Z</dcterms:created>
  <dcterms:modified xsi:type="dcterms:W3CDTF">2026-08-21T10:38:00Z</dcterms:modified>
</cp:coreProperties>
</file>