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№6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«Инжиниринг и управление данными»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«Условные выражения с оператором CASE»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Романюк В.В.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Научиться использовать оператор условного перехода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в двух формах: со значениями и с условиями поиска.</w:t>
      </w:r>
    </w:p>
    <w:bookmarkStart w:id="0" w:name="Xca458643c8ac6c7116754dfd89d611b3ef94b21"/>
    <w:p>
      <w:pPr>
        <w:pStyle w:val="Heading1"/>
      </w:pPr>
      <w:r>
        <w:t xml:space="preserve">1. Настройка среды разработки (Docker Compose)</w:t>
      </w:r>
    </w:p>
    <w:p>
      <w:pPr>
        <w:pStyle w:val="FirstParagraph"/>
      </w:pPr>
      <w:r>
        <w:t xml:space="preserve">Лабораторная работа выполняется на базе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запущенной в изолированном контейнере через файл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lab-06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mysql-lab06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"mysqld"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"--character-set-server=utf8mb4"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"--collation-server=utf8mb4_unicode_ci"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"3312:3306"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lab06-data:/var/lib/mysql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../student-init.sql:/docker-entrypoint-initdb.d/init.sql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</w:t>
      </w:r>
    </w:p>
    <w:p>
      <w:pPr>
        <w:pStyle w:val="FirstParagraph"/>
      </w:pPr>
      <w:r>
        <w:rPr>
          <w:rStyle w:val="VerbatimChar"/>
        </w:rPr>
        <w:t xml:space="preserve">ports: "3312:3306"</w:t>
      </w:r>
      <w:r>
        <w:t xml:space="preserve"> </w:t>
      </w:r>
      <w:r>
        <w:t xml:space="preserve">— уникальный порт хоста для лабораторной №6, исключающий конфликты при одновременном запуске нескольких лабораторных работ.</w:t>
      </w:r>
    </w:p>
    <w:p>
      <w:pPr>
        <w:pStyle w:val="BodyText"/>
      </w:pPr>
      <w:r>
        <w:rPr>
          <w:rStyle w:val="VerbatimChar"/>
        </w:rPr>
        <w:t xml:space="preserve">volumes: ../student-init.sql</w:t>
      </w:r>
      <w:r>
        <w:t xml:space="preserve"> </w:t>
      </w:r>
      <w:r>
        <w:t xml:space="preserve">— монтирует общий файл схемы базы данных из корня проекта. Все лабораторные работы с №2 по №11 используют одну и ту же схему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bookmarkEnd w:id="0"/>
    <w:bookmarkStart w:id="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в языке SQL выполняет роль условного перехода и существует в двух формах.</w:t>
      </w:r>
    </w:p>
    <w:p>
      <w:pPr>
        <w:pStyle w:val="BodyText"/>
      </w:pPr>
      <w:r>
        <w:t xml:space="preserve">Первая форма —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со значением — сравнивает проверяемое выражение с набором конкретных значений: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проверяемое_значение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значение1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результат1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значение2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результат2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результатX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Вторая форма —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с условием поиска — проверяет произвольные логические выражения для каждой строки: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условие1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результат1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условие2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результат2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результатX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Ключевое слово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необязательно — если оно отсутствует и ни одно условие не выполнено, возвращается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Оператор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завершается ключевым словом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и может использоваться с псевдонимом</w:t>
      </w:r>
      <w:r>
        <w:t xml:space="preserve"> </w:t>
      </w:r>
      <w:r>
        <w:rPr>
          <w:rStyle w:val="VerbatimChar"/>
        </w:rPr>
        <w:t xml:space="preserve">AS</w:t>
      </w:r>
      <w:r>
        <w:t xml:space="preserve">.</w:t>
      </w:r>
    </w:p>
    <w:bookmarkEnd w:id="1"/>
    <w:bookmarkStart w:id="2" w:name="выполнение-заданий"/>
    <w:p>
      <w:pPr>
        <w:pStyle w:val="Heading1"/>
      </w:pPr>
      <w:r>
        <w:t xml:space="preserve">3. Выполнение заданий</w:t>
      </w:r>
    </w:p>
    <w:bookmarkStart w:id="3" w:name="X22f266d0c325fc4f95e7296819efe3138fdbcbe"/>
    <w:p>
      <w:pPr>
        <w:pStyle w:val="Heading2"/>
      </w:pPr>
      <w:r>
        <w:t xml:space="preserve">Задание 1. Перевести каждую оценку в рейтинговый балл</w:t>
      </w:r>
    </w:p>
    <w:p>
      <w:pPr>
        <w:pStyle w:val="FirstParagraph"/>
      </w:pPr>
      <w:r>
        <w:t xml:space="preserve">За оценку меньше 3 начисляется 0 баллов, от 3 до 4 — 1 балл, за оценку 5 — 2 балла. Используется форма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с условиями поиска, поскольку границы диапазонов задаются логическими выражениями, а не точными значениями.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kod_student, ocenka,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ocenka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ocenka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ocenka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РЕЙТИНГОВЫЙ_БАЛ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5727662"/>
            <wp:effectExtent b="0" l="0" r="0" t="0"/>
            <wp:docPr descr="Рисунок 1 – Перевод оценок в рейтинговые баллы" title="" id="1" name="Picture"/>
            <a:graphic>
              <a:graphicData uri="http://schemas.openxmlformats.org/drawingml/2006/picture">
                <pic:pic>
                  <pic:nvPicPr>
                    <pic:cNvPr descr="assets/step-01-case-rating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5727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Перевод оценок в рейтинговые баллы</w:t>
      </w:r>
    </w:p>
    <w:bookmarkEnd w:id="2"/>
    <w:bookmarkStart w:id="4" w:name="X065100bd159faa672b75cb5c8503f7bc6af2e8e"/>
    <w:p>
      <w:pPr>
        <w:pStyle w:val="Heading2"/>
      </w:pPr>
      <w:r>
        <w:t xml:space="preserve">Задание 2. Вывести список оценок и их буквенное обозначение</w:t>
      </w:r>
    </w:p>
    <w:p>
      <w:pPr>
        <w:pStyle w:val="FirstParagraph"/>
      </w:pPr>
      <w:r>
        <w:t xml:space="preserve">5 — «отлично», 4 — «хорошо», 3 — «удовлетворительно», 2 — «неудовлетворительно». Используется форма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со значением, поскольку сравниваются точные числовые значения оценок.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ocenka,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ocenka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'Отлично'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'Хорошо'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'Удовлетворительно'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'Неудовлетворительно'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БУКВЕННАЯ_ОЦЕНКА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8242443"/>
            <wp:effectExtent b="0" l="0" r="0" t="0"/>
            <wp:docPr descr="Рисунок 2 – Буквенное обозначение оценок" title="" id="2" name="Picture"/>
            <a:graphic>
              <a:graphicData uri="http://schemas.openxmlformats.org/drawingml/2006/picture">
                <pic:pic>
                  <pic:nvPicPr>
                    <pic:cNvPr descr="assets/step-02-case-letters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8242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Буквенное обозначение оценок</w:t>
      </w:r>
    </w:p>
    <w:bookmarkEnd w:id="3"/>
    <w:bookmarkStart w:id="5" w:name="X7b5e44e427694a4689731d6c08af1fac84ce269"/>
    <w:p>
      <w:pPr>
        <w:pStyle w:val="Heading2"/>
      </w:pPr>
      <w:r>
        <w:t xml:space="preserve">Задание 3. Вывести список оценок по системе «зачёт-незачёт»</w:t>
      </w:r>
    </w:p>
    <w:p>
      <w:pPr>
        <w:pStyle w:val="FirstParagraph"/>
      </w:pPr>
      <w:r>
        <w:t xml:space="preserve">Оценки 4 и 5 — «зачёт», остальные — «незачёт». Поскольку условие охватывает диапазон значений, применяется форма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с условиями поиска.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ocenka,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ocenka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'Зачёт'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'Незачёт'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ЗАЧЕТ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665220" cy="6195194"/>
            <wp:effectExtent b="0" l="0" r="0" t="0"/>
            <wp:docPr descr="Рисунок 3 – Система зачёт-незачёт" title="" id="3" name="Picture"/>
            <a:graphic>
              <a:graphicData uri="http://schemas.openxmlformats.org/drawingml/2006/picture">
                <pic:pic>
                  <pic:nvPicPr>
                    <pic:cNvPr descr="assets/step-03-case-zachet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6195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Система зачёт-незачёт</w:t>
      </w:r>
    </w:p>
    <w:bookmarkEnd w:id="4"/>
    <w:bookmarkStart w:id="6" w:name="X6e6397219d9267d8a66a6467b3cb328995b4c1c"/>
    <w:p>
      <w:pPr>
        <w:pStyle w:val="Heading2"/>
      </w:pPr>
      <w:r>
        <w:t xml:space="preserve">Задание 4. Вывести названия групп и названия специальностей</w:t>
      </w:r>
    </w:p>
    <w:p>
      <w:pPr>
        <w:pStyle w:val="FirstParagraph"/>
      </w:pPr>
      <w:r>
        <w:t xml:space="preserve">«МФ-МАТ» — Математика, «МФ-ПИЭ» — Прикладная информатика в экономике, «МФ-Инф» — Информатика. В случае другого обозначения повторяется название группы. Используется форма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со значением, сравнивающая точные строковые значения.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nazvanie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'МФ-МАТ-4-1'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'Математика'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'МФ-МАТ-4-2'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'Математика'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'МФ-ПИЭ-4-1'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'Прикладная информатика в экономике'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'МФ-Инф-4-1'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'Информатика'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nazvanie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СПЕЦИАЛЬНОСТЬ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gruppa;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4323826"/>
            <wp:effectExtent b="0" l="0" r="0" t="0"/>
            <wp:docPr descr="Рисунок 4 – Названия групп и специальностей" title="" id="4" name="Picture"/>
            <a:graphic>
              <a:graphicData uri="http://schemas.openxmlformats.org/drawingml/2006/picture">
                <pic:pic>
                  <pic:nvPicPr>
                    <pic:cNvPr descr="assets/step-04-case-spec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4323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Названия групп и специальностей</w:t>
      </w:r>
    </w:p>
    <w:bookmarkEnd w:id="5"/>
    <w:bookmarkStart w:id="7" w:name="Xdb55f585a0be95a3b141238e9e02f1f294575e4"/>
    <w:p>
      <w:pPr>
        <w:pStyle w:val="Heading2"/>
      </w:pPr>
      <w:r>
        <w:t xml:space="preserve">Задание 5. Вывести фамилии студентов и место прохождения практики</w:t>
      </w:r>
    </w:p>
    <w:p>
      <w:pPr>
        <w:pStyle w:val="FirstParagraph"/>
      </w:pPr>
      <w:r>
        <w:t xml:space="preserve">Студенты группы с кодом 1 проходят практику в «Банк УралСиб», с кодом 2 — «СберБанк», с кодом 3 — «Первомайский», с кодом 4 — «РосСельхозБанк». Используется форма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со значением по полю</w:t>
      </w:r>
      <w:r>
        <w:t xml:space="preserve"> </w:t>
      </w:r>
      <w:r>
        <w:rPr>
          <w:rStyle w:val="VerbatimChar"/>
        </w:rPr>
        <w:t xml:space="preserve">kod_gruppy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ima, kod_gruppy,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kod_gruppy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'Банк УралСиб'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'СберБанк'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'Первомайский'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'РосСельхозБанк'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определено'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МЕСТО_ПРАКТИКИ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4430843"/>
            <wp:effectExtent b="0" l="0" r="0" t="0"/>
            <wp:docPr descr="Рисунок 5 – Места прохождения практики студентов" title="" id="5" name="Picture"/>
            <a:graphic>
              <a:graphicData uri="http://schemas.openxmlformats.org/drawingml/2006/picture">
                <pic:pic>
                  <pic:nvPicPr>
                    <pic:cNvPr descr="assets/step-05-case-praktika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4430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Места прохождения практики студентов</w:t>
      </w:r>
    </w:p>
    <w:bookmarkEnd w:id="6"/>
    <w:bookmarkEnd w:id="7"/>
    <w:bookmarkStart w:id="8" w:name="проверка-результатов"/>
    <w:p>
      <w:pPr>
        <w:pStyle w:val="Heading1"/>
      </w:pPr>
      <w:r>
        <w:t xml:space="preserve">4. Проверка результатов</w:t>
      </w:r>
    </w:p>
    <w:p>
      <w:pPr>
        <w:pStyle w:val="FirstParagraph"/>
      </w:pPr>
      <w:r>
        <w:t xml:space="preserve">После запуска базы данных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из папки</w:t>
      </w:r>
      <w:r>
        <w:t xml:space="preserve"> </w:t>
      </w:r>
      <w:r>
        <w:rPr>
          <w:rStyle w:val="VerbatimChar"/>
        </w:rPr>
        <w:t xml:space="preserve">lab-06</w:t>
      </w:r>
      <w:r>
        <w:t xml:space="preserve"> </w:t>
      </w:r>
      <w:r>
        <w:t xml:space="preserve">все таблицы создаются и заполняются автоматически из общего файла</w:t>
      </w:r>
      <w:r>
        <w:t xml:space="preserve"> </w:t>
      </w:r>
      <w:r>
        <w:rPr>
          <w:rStyle w:val="VerbatimChar"/>
        </w:rPr>
        <w:t xml:space="preserve">student-init.sql</w:t>
      </w:r>
      <w:r>
        <w:t xml:space="preserve">. Корректность структуры и данных проверяется через Prisma Studio и phpMyAdmin.</w:t>
      </w:r>
    </w:p>
    <w:p>
      <w:pPr>
        <w:pStyle w:val="BodyText"/>
      </w:pPr>
      <w:r>
        <w:t xml:space="preserve">Prisma Studio отображает все таблицы с данными и позволяет визуально проверить структуру базы и связи между таблицами.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969408"/>
            <wp:effectExtent b="0" l="0" r="0" t="0"/>
            <wp:docPr descr="Рисунок 6 – Таблица uspev в Prisma Studio" title="" id="6" name="Picture"/>
            <a:graphic>
              <a:graphicData uri="http://schemas.openxmlformats.org/drawingml/2006/picture">
                <pic:pic>
                  <pic:nvPicPr>
                    <pic:cNvPr descr="assets/prisma-tables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96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Таблица uspev в Prisma Studio</w:t>
      </w:r>
    </w:p>
    <w:p>
      <w:pPr>
        <w:pStyle w:val="BodyText"/>
      </w:pPr>
      <w:r>
        <w:t xml:space="preserve">phpMyAdmin предоставляет возможность выполнять SQL-запросы напрямую и просматривать результаты в табличном виде.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2564170"/>
            <wp:effectExtent b="0" l="0" r="0" t="0"/>
            <wp:docPr descr="Рисунок 7 – Список таблиц базы данных в phpMyAdmin" title="" id="7" name="Picture"/>
            <a:graphic>
              <a:graphicData uri="http://schemas.openxmlformats.org/drawingml/2006/picture">
                <pic:pic>
                  <pic:nvPicPr>
                    <pic:cNvPr descr="assets/phpmyadmin-tables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564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Список таблиц базы данных в phpMyAdmin</w:t>
      </w:r>
    </w:p>
    <w:p>
      <w:pPr>
        <w:pStyle w:val="BodyText"/>
      </w:pPr>
      <w:r>
        <w:t xml:space="preserve">Диаграмма связей в Prisma Studio наглядно показывает отношения между всеми таблицами базы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057208"/>
            <wp:effectExtent b="0" l="0" r="0" t="0"/>
            <wp:docPr descr="Рисунок 8 – Диаграмма связей базы данных в Prisma Studio" title="" id="8" name="Picture"/>
            <a:graphic>
              <a:graphicData uri="http://schemas.openxmlformats.org/drawingml/2006/picture">
                <pic:pic>
                  <pic:nvPicPr>
                    <pic:cNvPr descr="assets/prisma-diagram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05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Диаграмма связей базы данных в Prisma Studio</w:t>
      </w:r>
    </w:p>
    <w:bookmarkStart w:id="9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освоено применение оператора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в двух формах: со значением для сравнения с конкретными значениями и с условием поиска для проверки произвольных логических выражений. Изучено использование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для перевода числовых кодов в текстовые описания, реализации рейтинговых систем и условной классификации данных непосредственно в SQL-запросах.</w:t>
      </w:r>
    </w:p>
    <w:bookmarkEnd w:id="8"/>
    <w:bookmarkEnd w:id="9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DecValTok">
    <w:name w:val="DecValTok"/>
    <w:basedOn w:val="VerbatimChar"/>
    <w:rPr>
      <w:color w:val="40a07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