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6B4F"/>
          <w:sz w:val="44"/>
        </w:rPr>
        <w:t>BASTION</w:t>
      </w:r>
    </w:p>
    <w:p>
      <w:r>
        <w:rPr>
          <w:b w:val="0"/>
          <w:i w:val="0"/>
          <w:color w:val="505A55"/>
          <w:sz w:val="22"/>
        </w:rPr>
        <w:t>Audit &amp; test d'intrusion</w:t>
      </w:r>
    </w:p>
    <w:p/>
    <w:p/>
    <w:p>
      <w:r>
        <w:rPr>
          <w:b/>
          <w:color w:val="111111"/>
          <w:sz w:val="48"/>
        </w:rPr>
        <w:t>Rapport de test d'intrusion</w:t>
        <w:br/>
        <w:t>Application BASTION</w:t>
      </w:r>
    </w:p>
    <w:p>
      <w:r>
        <w:rPr>
          <w:b w:val="0"/>
          <w:i/>
          <w:color w:val="505A55"/>
          <w:sz w:val="22"/>
        </w:rPr>
        <w:t>Auto-évaluation de l'application, sur l'instance locale</w:t>
      </w:r>
    </w:p>
    <w:p/>
    <w:tbl>
      <w:tblPr>
        <w:tblStyle w:val="TableGrid"/>
        <w:tblW w:type="auto" w:w="0"/>
        <w:tblLook w:firstColumn="1" w:firstRow="1" w:lastColumn="0" w:lastRow="0" w:noHBand="0" w:noVBand="1" w:val="04A0"/>
      </w:tblPr>
      <w:tblGrid>
        <w:gridCol w:w="4873"/>
        <w:gridCol w:w="4873"/>
      </w:tblGrid>
      <w:tr>
        <w:tc>
          <w:tcPr>
            <w:tcW w:type="dxa" w:w="4873"/>
            <w:shd w:val="clear" w:fill="F4F6F5"/>
          </w:tcPr>
          <w:p>
            <w:r/>
            <w:r>
              <w:rPr>
                <w:b/>
                <w:sz w:val="18"/>
              </w:rPr>
              <w:t>Cible</w:t>
            </w:r>
          </w:p>
        </w:tc>
        <w:tc>
          <w:tcPr>
            <w:tcW w:type="dxa" w:w="4873"/>
          </w:tcPr>
          <w:p>
            <w:r/>
            <w:r>
              <w:rPr>
                <w:sz w:val="18"/>
              </w:rPr>
              <w:t>Application BASTION — http://127.0.0.1:5002</w:t>
            </w:r>
          </w:p>
        </w:tc>
      </w:tr>
      <w:tr>
        <w:tc>
          <w:tcPr>
            <w:tcW w:type="dxa" w:w="4873"/>
            <w:shd w:val="clear" w:fill="F4F6F5"/>
          </w:tcPr>
          <w:p>
            <w:r/>
            <w:r>
              <w:rPr>
                <w:b/>
                <w:sz w:val="18"/>
              </w:rPr>
              <w:t>Nature</w:t>
            </w:r>
          </w:p>
        </w:tc>
        <w:tc>
          <w:tcPr>
            <w:tcW w:type="dxa" w:w="4873"/>
          </w:tcPr>
          <w:p>
            <w:r/>
            <w:r>
              <w:rPr>
                <w:sz w:val="18"/>
              </w:rPr>
              <w:t>Auto-évaluation : l'application est testée par son auteur</w:t>
            </w:r>
          </w:p>
        </w:tc>
      </w:tr>
      <w:tr>
        <w:tc>
          <w:tcPr>
            <w:tcW w:type="dxa" w:w="4873"/>
            <w:shd w:val="clear" w:fill="F4F6F5"/>
          </w:tcPr>
          <w:p>
            <w:r/>
            <w:r>
              <w:rPr>
                <w:b/>
                <w:sz w:val="18"/>
              </w:rPr>
              <w:t>Périmètre</w:t>
            </w:r>
          </w:p>
        </w:tc>
        <w:tc>
          <w:tcPr>
            <w:tcW w:type="dxa" w:w="4873"/>
          </w:tcPr>
          <w:p>
            <w:r/>
            <w:r>
              <w:rPr>
                <w:sz w:val="18"/>
              </w:rPr>
              <w:t>Toutes les routes publiques et d'administration, authentification, session, en-têtes, fichiers servis</w:t>
            </w:r>
          </w:p>
        </w:tc>
      </w:tr>
      <w:tr>
        <w:tc>
          <w:tcPr>
            <w:tcW w:type="dxa" w:w="4873"/>
            <w:shd w:val="clear" w:fill="F4F6F5"/>
          </w:tcPr>
          <w:p>
            <w:r/>
            <w:r>
              <w:rPr>
                <w:b/>
                <w:sz w:val="18"/>
              </w:rPr>
              <w:t>Hors périmètre</w:t>
            </w:r>
          </w:p>
        </w:tc>
        <w:tc>
          <w:tcPr>
            <w:tcW w:type="dxa" w:w="4873"/>
          </w:tcPr>
          <w:p>
            <w:r/>
            <w:r>
              <w:rPr>
                <w:sz w:val="18"/>
              </w:rPr>
              <w:t>L'API OSV elle-même, l'hébergeur, le système d'exploitation, les attaques réseau</w:t>
            </w:r>
          </w:p>
        </w:tc>
      </w:tr>
      <w:tr>
        <w:tc>
          <w:tcPr>
            <w:tcW w:type="dxa" w:w="4873"/>
            <w:shd w:val="clear" w:fill="F4F6F5"/>
          </w:tcPr>
          <w:p>
            <w:r/>
            <w:r>
              <w:rPr>
                <w:b/>
                <w:sz w:val="18"/>
              </w:rPr>
              <w:t>Nombre d'attaques simulées</w:t>
            </w:r>
          </w:p>
        </w:tc>
        <w:tc>
          <w:tcPr>
            <w:tcW w:type="dxa" w:w="4873"/>
          </w:tcPr>
          <w:p>
            <w:r/>
            <w:r>
              <w:rPr>
                <w:sz w:val="18"/>
              </w:rPr>
              <w:t>94</w:t>
            </w:r>
          </w:p>
        </w:tc>
      </w:tr>
      <w:tr>
        <w:tc>
          <w:tcPr>
            <w:tcW w:type="dxa" w:w="4873"/>
            <w:shd w:val="clear" w:fill="F4F6F5"/>
          </w:tcPr>
          <w:p>
            <w:r/>
            <w:r>
              <w:rPr>
                <w:b/>
                <w:sz w:val="18"/>
              </w:rPr>
              <w:t>Vulnérabilités trouvées au 1er passage</w:t>
            </w:r>
          </w:p>
        </w:tc>
        <w:tc>
          <w:tcPr>
            <w:tcW w:type="dxa" w:w="4873"/>
          </w:tcPr>
          <w:p>
            <w:r/>
            <w:r>
              <w:rPr>
                <w:sz w:val="18"/>
              </w:rPr>
              <w:t>3 — toutes corrigées</w:t>
            </w:r>
          </w:p>
        </w:tc>
      </w:tr>
      <w:tr>
        <w:tc>
          <w:tcPr>
            <w:tcW w:type="dxa" w:w="4873"/>
            <w:shd w:val="clear" w:fill="F4F6F5"/>
          </w:tcPr>
          <w:p>
            <w:r/>
            <w:r>
              <w:rPr>
                <w:b/>
                <w:sz w:val="18"/>
              </w:rPr>
              <w:t>Vulnérabilités résiduelles après correction</w:t>
            </w:r>
          </w:p>
        </w:tc>
        <w:tc>
          <w:tcPr>
            <w:tcW w:type="dxa" w:w="4873"/>
          </w:tcPr>
          <w:p>
            <w:r/>
            <w:r>
              <w:rPr>
                <w:sz w:val="18"/>
              </w:rPr>
              <w:t>0</w:t>
            </w:r>
          </w:p>
        </w:tc>
      </w:tr>
      <w:tr>
        <w:tc>
          <w:tcPr>
            <w:tcW w:type="dxa" w:w="4873"/>
            <w:shd w:val="clear" w:fill="F4F6F5"/>
          </w:tcPr>
          <w:p>
            <w:r/>
            <w:r>
              <w:rPr>
                <w:b/>
                <w:sz w:val="18"/>
              </w:rPr>
              <w:t>Date</w:t>
            </w:r>
          </w:p>
        </w:tc>
        <w:tc>
          <w:tcPr>
            <w:tcW w:type="dxa" w:w="4873"/>
          </w:tcPr>
          <w:p>
            <w:r/>
            <w:r>
              <w:rPr>
                <w:sz w:val="18"/>
              </w:rPr>
              <w:t>20/09/2026</w:t>
            </w:r>
          </w:p>
        </w:tc>
      </w:tr>
    </w:tbl>
    <w:p/>
    <w:p>
      <w:r>
        <w:rPr>
          <w:b/>
          <w:i w:val="0"/>
          <w:sz w:val="20"/>
        </w:rPr>
        <w:t>Avertissement de portée</w:t>
      </w:r>
    </w:p>
    <w:p>
      <w:r>
        <w:rPr>
          <w:b w:val="0"/>
          <w:i w:val="0"/>
          <w:color w:val="505A55"/>
          <w:sz w:val="19"/>
        </w:rPr>
        <w:t>Cette évaluation a été menée par le développeur de l'application sur sa propre instance locale. Elle ne remplace pas l'avis d'un tiers indépendant, et l'absence de vulnérabilité résiduelle ne vaut que pour les classes d'attaque testées, à la date indiquée.</w:t>
      </w:r>
    </w:p>
    <w:p>
      <w:r>
        <w:br w:type="page"/>
      </w:r>
    </w:p>
    <w:p>
      <w:pPr>
        <w:pStyle w:val="Heading1"/>
      </w:pPr>
      <w:r>
        <w:t>1. Synthèse exécutive</w:t>
      </w:r>
    </w:p>
    <w:p>
      <w:r>
        <w:rPr>
          <w:b w:val="0"/>
          <w:i w:val="0"/>
        </w:rPr>
        <w:t>94 attaques ont été tentées contre l'application en fonctionnement, réparties en treize classes. Trois faiblesses réelles ont été trouvées, puis corrigées, et le test a été rejoué intégralement pour confirmer chaque correction. La campagne finale ne relève aucune vulnérabilité résiduelle.</w:t>
      </w:r>
    </w:p>
    <w:p>
      <w:pPr>
        <w:pStyle w:val="Heading2"/>
      </w:pPr>
      <w:r>
        <w:t>1.1 Résultat global</w:t>
      </w:r>
    </w:p>
    <w:tbl>
      <w:tblPr>
        <w:tblStyle w:val="TableGrid"/>
        <w:tblW w:type="auto" w:w="0"/>
        <w:jc w:val="center"/>
        <w:tblLook w:firstColumn="1" w:firstRow="1" w:lastColumn="0" w:lastRow="0" w:noHBand="0" w:noVBand="1" w:val="04A0"/>
      </w:tblPr>
      <w:tblGrid>
        <w:gridCol w:w="4873"/>
        <w:gridCol w:w="4873"/>
      </w:tblGrid>
      <w:tr>
        <w:tc>
          <w:tcPr>
            <w:tcW w:type="dxa" w:w="4873"/>
            <w:shd w:val="clear" w:fill="E8EDEB"/>
          </w:tcPr>
          <w:p>
            <w:r/>
            <w:r>
              <w:rPr>
                <w:b/>
                <w:sz w:val="18"/>
              </w:rPr>
              <w:t>Indicateur</w:t>
            </w:r>
          </w:p>
        </w:tc>
        <w:tc>
          <w:tcPr>
            <w:tcW w:type="dxa" w:w="4873"/>
            <w:shd w:val="clear" w:fill="E8EDEB"/>
          </w:tcPr>
          <w:p>
            <w:r/>
            <w:r>
              <w:rPr>
                <w:b/>
                <w:sz w:val="18"/>
              </w:rPr>
              <w:t>Valeur</w:t>
            </w:r>
          </w:p>
        </w:tc>
      </w:tr>
      <w:tr>
        <w:tc>
          <w:tcPr>
            <w:tcW w:type="dxa" w:w="4873"/>
          </w:tcPr>
          <w:p>
            <w:r/>
            <w:r>
              <w:rPr>
                <w:sz w:val="18"/>
              </w:rPr>
              <w:t>Attaques simulées (campagne finale)</w:t>
            </w:r>
          </w:p>
        </w:tc>
        <w:tc>
          <w:tcPr>
            <w:tcW w:type="dxa" w:w="4873"/>
          </w:tcPr>
          <w:p>
            <w:r/>
            <w:r>
              <w:rPr>
                <w:sz w:val="18"/>
              </w:rPr>
              <w:t>94</w:t>
            </w:r>
          </w:p>
        </w:tc>
      </w:tr>
      <w:tr>
        <w:tc>
          <w:tcPr>
            <w:tcW w:type="dxa" w:w="4873"/>
          </w:tcPr>
          <w:p>
            <w:r/>
            <w:r>
              <w:rPr>
                <w:sz w:val="18"/>
              </w:rPr>
              <w:t>Classes d'attaque couvertes</w:t>
            </w:r>
          </w:p>
        </w:tc>
        <w:tc>
          <w:tcPr>
            <w:tcW w:type="dxa" w:w="4873"/>
          </w:tcPr>
          <w:p>
            <w:r/>
            <w:r>
              <w:rPr>
                <w:sz w:val="18"/>
              </w:rPr>
              <w:t>15</w:t>
            </w:r>
          </w:p>
        </w:tc>
      </w:tr>
      <w:tr>
        <w:tc>
          <w:tcPr>
            <w:tcW w:type="dxa" w:w="4873"/>
          </w:tcPr>
          <w:p>
            <w:r/>
            <w:r>
              <w:rPr>
                <w:sz w:val="18"/>
              </w:rPr>
              <w:t>Vulnérabilités trouvées au premier passage</w:t>
            </w:r>
          </w:p>
        </w:tc>
        <w:tc>
          <w:tcPr>
            <w:tcW w:type="dxa" w:w="4873"/>
          </w:tcPr>
          <w:p>
            <w:r/>
            <w:r>
              <w:rPr>
                <w:sz w:val="18"/>
              </w:rPr>
              <w:t>3</w:t>
            </w:r>
          </w:p>
        </w:tc>
      </w:tr>
      <w:tr>
        <w:tc>
          <w:tcPr>
            <w:tcW w:type="dxa" w:w="4873"/>
          </w:tcPr>
          <w:p>
            <w:r/>
            <w:r>
              <w:rPr>
                <w:sz w:val="18"/>
              </w:rPr>
              <w:t>dont corrigées et revérifiées</w:t>
            </w:r>
          </w:p>
        </w:tc>
        <w:tc>
          <w:tcPr>
            <w:tcW w:type="dxa" w:w="4873"/>
          </w:tcPr>
          <w:p>
            <w:r/>
            <w:r>
              <w:rPr>
                <w:sz w:val="18"/>
              </w:rPr>
              <w:t>3</w:t>
            </w:r>
          </w:p>
        </w:tc>
      </w:tr>
      <w:tr>
        <w:tc>
          <w:tcPr>
            <w:tcW w:type="dxa" w:w="4873"/>
          </w:tcPr>
          <w:p>
            <w:r/>
            <w:r>
              <w:rPr>
                <w:sz w:val="18"/>
              </w:rPr>
              <w:t>Vulnérabilités résiduelles après correction</w:t>
            </w:r>
          </w:p>
        </w:tc>
        <w:tc>
          <w:tcPr>
            <w:tcW w:type="dxa" w:w="4873"/>
          </w:tcPr>
          <w:p>
            <w:r/>
            <w:r>
              <w:rPr>
                <w:sz w:val="18"/>
              </w:rPr>
              <w:t>0</w:t>
            </w:r>
          </w:p>
        </w:tc>
      </w:tr>
    </w:tbl>
    <w:p/>
    <w:p>
      <w:r>
        <w:rPr>
          <w:b w:val="0"/>
          <w:i/>
          <w:color w:val="505A55"/>
          <w:sz w:val="18"/>
        </w:rPr>
        <w:t>Les journaux bruts des deux campagnes accompagnent ce rapport : « pentest_campagne_1_avant_correction.txt » et « pentest_campagne_finale_apres_correction.txt ». Les résultats détaillés, attaque par attaque, sont dans rapport_pentest.json.</w:t>
      </w:r>
    </w:p>
    <w:p>
      <w:pPr>
        <w:pStyle w:val="Heading2"/>
      </w:pPr>
      <w:r>
        <w:t>1.2 Les trois faiblesses trouvées et corrigées</w:t>
      </w:r>
    </w:p>
    <w:p>
      <w:pPr>
        <w:pStyle w:val="Heading3"/>
      </w:pPr>
      <w:r>
        <w:t>Énumération de comptes par le temps de réponse — Faible</w:t>
      </w:r>
    </w:p>
    <w:p>
      <w:r>
        <w:rPr>
          <w:b w:val="0"/>
          <w:i w:val="0"/>
          <w:sz w:val="20"/>
        </w:rPr>
        <w:t>La vérification du mot de passe n'était exécutée que si l'identifiant existait. Un compte réel répondait en ~450 ms, un compte inexistant en ~70 ms. Cet écart de 362 ms permettait de constituer la liste des comptes valides sans jamais connaître un mot de passe.</w:t>
      </w:r>
    </w:p>
    <w:p>
      <w:r>
        <w:rPr>
          <w:b/>
          <w:sz w:val="19"/>
        </w:rPr>
        <w:t xml:space="preserve">Preuve d'origine : </w:t>
      </w:r>
      <w:r>
        <w:rPr>
          <w:sz w:val="19"/>
        </w:rPr>
        <w:t>Médiane de 453 ms pour « admin » contre 71 ms pour un identifiant inexistant, sur six requêtes par cas.</w:t>
      </w:r>
    </w:p>
    <w:p>
      <w:pPr>
        <w:pStyle w:val="Heading3"/>
      </w:pPr>
      <w:r>
        <w:t>En-tête Server divulguant les versions exactes — Faible</w:t>
      </w:r>
    </w:p>
    <w:p>
      <w:r>
        <w:rPr>
          <w:b w:val="0"/>
          <w:i w:val="0"/>
          <w:sz w:val="20"/>
        </w:rPr>
        <w:t>Le serveur annonçait « Werkzeug/3.1.8 Python/3.14.7 ». Une version exacte de cadre applicatif et d'interpréteur désigne directement les vulnérabilités publiques à tenter : c'est la première étape d'une reconnaissance automatisée.</w:t>
      </w:r>
    </w:p>
    <w:p>
      <w:r>
        <w:rPr>
          <w:b/>
          <w:sz w:val="19"/>
        </w:rPr>
        <w:t xml:space="preserve">Preuve d'origine : </w:t>
      </w:r>
      <w:r>
        <w:rPr>
          <w:sz w:val="19"/>
        </w:rPr>
        <w:t>Requête HTTP brute : « Server: Werkzeug/3.1.8 Python/3.14.7 ».</w:t>
      </w:r>
    </w:p>
    <w:p>
      <w:pPr>
        <w:pStyle w:val="Heading3"/>
      </w:pPr>
      <w:r>
        <w:t>Absence de limitation de débit sur la page d'appel externe — Moyen</w:t>
      </w:r>
    </w:p>
    <w:p>
      <w:r>
        <w:rPr>
          <w:b w:val="0"/>
          <w:i w:val="0"/>
          <w:sz w:val="20"/>
        </w:rPr>
        <w:t>La page de vérification de dépendance déclenche un appel sortant vers l'API OSV à chaque requête, sans aucune limitation. Elle pouvait servir d'amplificateur : quelques octets côté attaquant provoquaient une requête sortante coûteuse, avec un risque d'épuisement du quota du service tiers au détriment des autres visiteurs.</w:t>
      </w:r>
    </w:p>
    <w:p>
      <w:r>
        <w:rPr>
          <w:b/>
          <w:sz w:val="19"/>
        </w:rPr>
        <w:t xml:space="preserve">Preuve d'origine : </w:t>
      </w:r>
      <w:r>
        <w:rPr>
          <w:sz w:val="19"/>
        </w:rPr>
        <w:t>26 requêtes simultanées acceptées, aucune refusée.</w:t>
      </w:r>
    </w:p>
    <w:p>
      <w:pPr>
        <w:pStyle w:val="Heading2"/>
      </w:pPr>
      <w:r>
        <w:t>1.3 Ce qu'un tiers pourrait encore trouver</w:t>
      </w:r>
    </w:p>
    <w:p>
      <w:r>
        <w:rPr>
          <w:b w:val="0"/>
          <w:i w:val="0"/>
          <w:sz w:val="20"/>
        </w:rPr>
        <w:t>Un rapport qui affirme « aucune vulnérabilité » sans nuance est un rapport malhonnête. Voici les limites explicites de cette évaluation.</w:t>
      </w:r>
    </w:p>
    <w:p>
      <w:pPr>
        <w:pStyle w:val="ListBullet"/>
      </w:pPr>
      <w:r>
        <w:t>l'application est testée par son auteur : les angles morts de conception sont, par nature, invisibles à celui qui les a conçus ;</w:t>
      </w:r>
    </w:p>
    <w:p>
      <w:pPr>
        <w:pStyle w:val="ListBullet"/>
      </w:pPr>
      <w:r>
        <w:t>l'instance testée tourne sur le serveur de développement Werkzeug, en HTTP local. Aucun test n'a porté sur un serveur de production, sur TLS, ou sur un pare-feu applicatif ;</w:t>
      </w:r>
    </w:p>
    <w:p>
      <w:pPr>
        <w:pStyle w:val="ListBullet"/>
      </w:pPr>
      <w:r>
        <w:t>les attaques réseau de bas niveau (détournement de session, empoisonnement DNS) sont hors périmètre d'une évaluation applicative ;</w:t>
      </w:r>
    </w:p>
    <w:p>
      <w:pPr>
        <w:pStyle w:val="ListBullet"/>
      </w:pPr>
      <w:r>
        <w:t>le déploiement partagé avec d'autres applications, la politique de sauvegarde et la gestion des accès à la machine ne sont pas couverts.</w:t>
      </w:r>
    </w:p>
    <w:p>
      <w:r>
        <w:br w:type="page"/>
      </w:r>
    </w:p>
    <w:p>
      <w:pPr>
        <w:pStyle w:val="Heading1"/>
      </w:pPr>
      <w:r>
        <w:t>2. Méthode</w:t>
      </w:r>
    </w:p>
    <w:p>
      <w:r>
        <w:rPr>
          <w:b w:val="0"/>
          <w:i w:val="0"/>
          <w:sz w:val="20"/>
        </w:rPr>
        <w:t>Le test est exécuté par un script qui envoie de véritables requêtes HTTP à l'application et conclut d'après le comportement observé — jamais d'après la lecture du code. Chaque conclusion s'appuie sur une preuve mesurée : un code de réponse, un contenu recherché dans la réponse, ou un temps d'exécution.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E8EDEB"/>
          </w:tcPr>
          <w:p>
            <w:r/>
            <w:r>
              <w:rPr>
                <w:b/>
                <w:sz w:val="18"/>
              </w:rPr>
              <w:t>Classe d'attaque</w:t>
            </w:r>
          </w:p>
        </w:tc>
        <w:tc>
          <w:tcPr>
            <w:tcW w:type="dxa" w:w="3249"/>
            <w:shd w:val="clear" w:fill="E8EDEB"/>
          </w:tcPr>
          <w:p>
            <w:r/>
            <w:r>
              <w:rPr>
                <w:b/>
                <w:sz w:val="18"/>
              </w:rPr>
              <w:t>Ce qui est tenté</w:t>
            </w:r>
          </w:p>
        </w:tc>
        <w:tc>
          <w:tcPr>
            <w:tcW w:type="dxa" w:w="3249"/>
            <w:shd w:val="clear" w:fill="E8EDEB"/>
          </w:tcPr>
          <w:p>
            <w:r/>
            <w:r>
              <w:rPr>
                <w:b/>
                <w:sz w:val="18"/>
              </w:rPr>
              <w:t>Nombre de cas</w:t>
            </w:r>
          </w:p>
        </w:tc>
      </w:tr>
      <w:tr>
        <w:tc>
          <w:tcPr>
            <w:tcW w:type="dxa" w:w="3249"/>
          </w:tcPr>
          <w:p>
            <w:r/>
            <w:r>
              <w:rPr>
                <w:sz w:val="18"/>
              </w:rPr>
              <w:t>Injection SQL</w:t>
            </w:r>
          </w:p>
        </w:tc>
        <w:tc>
          <w:tcPr>
            <w:tcW w:type="dxa" w:w="3249"/>
          </w:tcPr>
          <w:p>
            <w:r/>
            <w:r>
              <w:rPr>
                <w:sz w:val="18"/>
              </w:rPr>
              <w:t>Contournement de condition, commentaire, destruction de table, union, lecture de table</w:t>
            </w:r>
          </w:p>
        </w:tc>
        <w:tc>
          <w:tcPr>
            <w:tcW w:type="dxa" w:w="3249"/>
          </w:tcPr>
          <w:p>
            <w:r/>
            <w:r>
              <w:rPr>
                <w:sz w:val="18"/>
              </w:rPr>
              <w:t>15</w:t>
            </w:r>
          </w:p>
        </w:tc>
      </w:tr>
      <w:tr>
        <w:tc>
          <w:tcPr>
            <w:tcW w:type="dxa" w:w="3249"/>
          </w:tcPr>
          <w:p>
            <w:r/>
            <w:r>
              <w:rPr>
                <w:sz w:val="18"/>
              </w:rPr>
              <w:t>Injection de code (XSS)</w:t>
            </w:r>
          </w:p>
        </w:tc>
        <w:tc>
          <w:tcPr>
            <w:tcW w:type="dxa" w:w="3249"/>
          </w:tcPr>
          <w:p>
            <w:r/>
            <w:r>
              <w:rPr>
                <w:sz w:val="18"/>
              </w:rPr>
              <w:t>Charges stockées via le formulaire public, réfléchies via les paramètres d'URL</w:t>
            </w:r>
          </w:p>
        </w:tc>
        <w:tc>
          <w:tcPr>
            <w:tcW w:type="dxa" w:w="3249"/>
          </w:tcPr>
          <w:p>
            <w:r/>
            <w:r>
              <w:rPr>
                <w:sz w:val="18"/>
              </w:rPr>
              <w:t>8</w:t>
            </w:r>
          </w:p>
        </w:tc>
      </w:tr>
      <w:tr>
        <w:tc>
          <w:tcPr>
            <w:tcW w:type="dxa" w:w="3249"/>
          </w:tcPr>
          <w:p>
            <w:r/>
            <w:r>
              <w:rPr>
                <w:sz w:val="18"/>
              </w:rPr>
              <w:t>Falsification de requête</w:t>
            </w:r>
          </w:p>
        </w:tc>
        <w:tc>
          <w:tcPr>
            <w:tcW w:type="dxa" w:w="3249"/>
          </w:tcPr>
          <w:p>
            <w:r/>
            <w:r>
              <w:rPr>
                <w:sz w:val="18"/>
              </w:rPr>
              <w:t>Absence de jeton, jeton aléatoire, jeton d'une autre session, jeton vide</w:t>
            </w:r>
          </w:p>
        </w:tc>
        <w:tc>
          <w:tcPr>
            <w:tcW w:type="dxa" w:w="3249"/>
          </w:tcPr>
          <w:p>
            <w:r/>
            <w:r>
              <w:rPr>
                <w:sz w:val="18"/>
              </w:rPr>
              <w:t>5</w:t>
            </w:r>
          </w:p>
        </w:tc>
      </w:tr>
      <w:tr>
        <w:tc>
          <w:tcPr>
            <w:tcW w:type="dxa" w:w="3249"/>
          </w:tcPr>
          <w:p>
            <w:r/>
            <w:r>
              <w:rPr>
                <w:sz w:val="18"/>
              </w:rPr>
              <w:t>Authentification et session</w:t>
            </w:r>
          </w:p>
        </w:tc>
        <w:tc>
          <w:tcPr>
            <w:tcW w:type="dxa" w:w="3249"/>
          </w:tcPr>
          <w:p>
            <w:r/>
            <w:r>
              <w:rPr>
                <w:sz w:val="18"/>
              </w:rPr>
              <w:t>Force brute, cookie falsifié, fixation de session, énumération par le temps, identifiants vides, injection au login</w:t>
            </w:r>
          </w:p>
        </w:tc>
        <w:tc>
          <w:tcPr>
            <w:tcW w:type="dxa" w:w="3249"/>
          </w:tcPr>
          <w:p>
            <w:r/>
            <w:r>
              <w:rPr>
                <w:sz w:val="18"/>
              </w:rPr>
              <w:t>7</w:t>
            </w:r>
          </w:p>
        </w:tc>
      </w:tr>
      <w:tr>
        <w:tc>
          <w:tcPr>
            <w:tcW w:type="dxa" w:w="3249"/>
          </w:tcPr>
          <w:p>
            <w:r/>
            <w:r>
              <w:rPr>
                <w:sz w:val="18"/>
              </w:rPr>
              <w:t>Contrôle d'accès</w:t>
            </w:r>
          </w:p>
        </w:tc>
        <w:tc>
          <w:tcPr>
            <w:tcW w:type="dxa" w:w="3249"/>
          </w:tcPr>
          <w:p>
            <w:r/>
            <w:r>
              <w:rPr>
                <w:sz w:val="18"/>
              </w:rPr>
              <w:t>Accès anonyme aux dix écrans d'administration, jeton d'une autre session sur une action protégée</w:t>
            </w:r>
          </w:p>
        </w:tc>
        <w:tc>
          <w:tcPr>
            <w:tcW w:type="dxa" w:w="3249"/>
          </w:tcPr>
          <w:p>
            <w:r/>
            <w:r>
              <w:rPr>
                <w:sz w:val="18"/>
              </w:rPr>
              <w:t>11</w:t>
            </w:r>
          </w:p>
        </w:tc>
      </w:tr>
      <w:tr>
        <w:tc>
          <w:tcPr>
            <w:tcW w:type="dxa" w:w="3249"/>
          </w:tcPr>
          <w:p>
            <w:r/>
            <w:r>
              <w:rPr>
                <w:sz w:val="18"/>
              </w:rPr>
              <w:t>Traversée de répertoire</w:t>
            </w:r>
          </w:p>
        </w:tc>
        <w:tc>
          <w:tcPr>
            <w:tcW w:type="dxa" w:w="3249"/>
          </w:tcPr>
          <w:p>
            <w:r/>
            <w:r>
              <w:rPr>
                <w:sz w:val="18"/>
              </w:rPr>
              <w:t>Fichiers de configuration, base de données, fichiers d'identifiants, variantes encodées</w:t>
            </w:r>
          </w:p>
        </w:tc>
        <w:tc>
          <w:tcPr>
            <w:tcW w:type="dxa" w:w="3249"/>
          </w:tcPr>
          <w:p>
            <w:r/>
            <w:r>
              <w:rPr>
                <w:sz w:val="18"/>
              </w:rPr>
              <w:t>14</w:t>
            </w:r>
          </w:p>
        </w:tc>
      </w:tr>
      <w:tr>
        <w:tc>
          <w:tcPr>
            <w:tcW w:type="dxa" w:w="3249"/>
          </w:tcPr>
          <w:p>
            <w:r/>
            <w:r>
              <w:rPr>
                <w:sz w:val="18"/>
              </w:rPr>
              <w:t>Méthodes HTTP</w:t>
            </w:r>
          </w:p>
        </w:tc>
        <w:tc>
          <w:tcPr>
            <w:tcW w:type="dxa" w:w="3249"/>
          </w:tcPr>
          <w:p>
            <w:r/>
            <w:r>
              <w:rPr>
                <w:sz w:val="18"/>
              </w:rPr>
              <w:t>TRACE, PUT, DELETE, PATCH sur les pages</w:t>
            </w:r>
          </w:p>
        </w:tc>
        <w:tc>
          <w:tcPr>
            <w:tcW w:type="dxa" w:w="3249"/>
          </w:tcPr>
          <w:p>
            <w:r/>
            <w:r>
              <w:rPr>
                <w:sz w:val="18"/>
              </w:rPr>
              <w:t>5</w:t>
            </w:r>
          </w:p>
        </w:tc>
      </w:tr>
      <w:tr>
        <w:tc>
          <w:tcPr>
            <w:tcW w:type="dxa" w:w="3249"/>
          </w:tcPr>
          <w:p>
            <w:r/>
            <w:r>
              <w:rPr>
                <w:sz w:val="18"/>
              </w:rPr>
              <w:t>Divulgation d'information</w:t>
            </w:r>
          </w:p>
        </w:tc>
        <w:tc>
          <w:tcPr>
            <w:tcW w:type="dxa" w:w="3249"/>
          </w:tcPr>
          <w:p>
            <w:r/>
            <w:r>
              <w:rPr>
                <w:sz w:val="18"/>
              </w:rPr>
              <w:t>En-tête de version, console de débogage, traces d'exception</w:t>
            </w:r>
          </w:p>
        </w:tc>
        <w:tc>
          <w:tcPr>
            <w:tcW w:type="dxa" w:w="3249"/>
          </w:tcPr>
          <w:p>
            <w:r/>
            <w:r>
              <w:rPr>
                <w:sz w:val="18"/>
              </w:rPr>
              <w:t>3</w:t>
            </w:r>
          </w:p>
        </w:tc>
      </w:tr>
      <w:tr>
        <w:tc>
          <w:tcPr>
            <w:tcW w:type="dxa" w:w="3249"/>
          </w:tcPr>
          <w:p>
            <w:r/>
            <w:r>
              <w:rPr>
                <w:sz w:val="18"/>
              </w:rPr>
              <w:t>En-têtes et cookies</w:t>
            </w:r>
          </w:p>
        </w:tc>
        <w:tc>
          <w:tcPr>
            <w:tcW w:type="dxa" w:w="3249"/>
          </w:tcPr>
          <w:p>
            <w:r/>
            <w:r>
              <w:rPr>
                <w:sz w:val="18"/>
              </w:rPr>
              <w:t>Présence et valeur des en-têtes de sécurité, directive script-src, attributs du cookie</w:t>
            </w:r>
          </w:p>
        </w:tc>
        <w:tc>
          <w:tcPr>
            <w:tcW w:type="dxa" w:w="3249"/>
          </w:tcPr>
          <w:p>
            <w:r/>
            <w:r>
              <w:rPr>
                <w:sz w:val="18"/>
              </w:rPr>
              <w:t>12</w:t>
            </w:r>
          </w:p>
        </w:tc>
      </w:tr>
      <w:tr>
        <w:tc>
          <w:tcPr>
            <w:tcW w:type="dxa" w:w="3249"/>
          </w:tcPr>
          <w:p>
            <w:r/>
            <w:r>
              <w:rPr>
                <w:sz w:val="18"/>
              </w:rPr>
              <w:t>Redirection ouverte</w:t>
            </w:r>
          </w:p>
        </w:tc>
        <w:tc>
          <w:tcPr>
            <w:tcW w:type="dxa" w:w="3249"/>
          </w:tcPr>
          <w:p>
            <w:r/>
            <w:r>
              <w:rPr>
                <w:sz w:val="18"/>
              </w:rPr>
              <w:t>Destination externe après connexion</w:t>
            </w:r>
          </w:p>
        </w:tc>
        <w:tc>
          <w:tcPr>
            <w:tcW w:type="dxa" w:w="3249"/>
          </w:tcPr>
          <w:p>
            <w:r/>
            <w:r>
              <w:rPr>
                <w:sz w:val="18"/>
              </w:rPr>
              <w:t>4</w:t>
            </w:r>
          </w:p>
        </w:tc>
      </w:tr>
      <w:tr>
        <w:tc>
          <w:tcPr>
            <w:tcW w:type="dxa" w:w="3249"/>
          </w:tcPr>
          <w:p>
            <w:r/>
            <w:r>
              <w:rPr>
                <w:sz w:val="18"/>
              </w:rPr>
              <w:t>Injection de gabarit (SSTI)</w:t>
            </w:r>
          </w:p>
        </w:tc>
        <w:tc>
          <w:tcPr>
            <w:tcW w:type="dxa" w:w="3249"/>
          </w:tcPr>
          <w:p>
            <w:r/>
            <w:r>
              <w:rPr>
                <w:sz w:val="18"/>
              </w:rPr>
              <w:t>Syntaxes Jinja, JSP, ERB, Ruby, lecture de configuration, accès aux classes</w:t>
            </w:r>
          </w:p>
        </w:tc>
        <w:tc>
          <w:tcPr>
            <w:tcW w:type="dxa" w:w="3249"/>
          </w:tcPr>
          <w:p>
            <w:r/>
            <w:r>
              <w:rPr>
                <w:sz w:val="18"/>
              </w:rPr>
              <w:t>6</w:t>
            </w:r>
          </w:p>
        </w:tc>
      </w:tr>
      <w:tr>
        <w:tc>
          <w:tcPr>
            <w:tcW w:type="dxa" w:w="3249"/>
          </w:tcPr>
          <w:p>
            <w:r/>
            <w:r>
              <w:rPr>
                <w:sz w:val="18"/>
              </w:rPr>
              <w:t>Abus de ressource externe</w:t>
            </w:r>
          </w:p>
        </w:tc>
        <w:tc>
          <w:tcPr>
            <w:tcW w:type="dxa" w:w="3249"/>
          </w:tcPr>
          <w:p>
            <w:r/>
            <w:r>
              <w:rPr>
                <w:sz w:val="18"/>
              </w:rPr>
              <w:t>Requêtes simultanées sur la page qui déclenche un appel sortant</w:t>
            </w:r>
          </w:p>
        </w:tc>
        <w:tc>
          <w:tcPr>
            <w:tcW w:type="dxa" w:w="3249"/>
          </w:tcPr>
          <w:p>
            <w:r/>
            <w:r>
              <w:rPr>
                <w:sz w:val="18"/>
              </w:rPr>
              <w:t>1</w:t>
            </w:r>
          </w:p>
        </w:tc>
      </w:tr>
      <w:tr>
        <w:tc>
          <w:tcPr>
            <w:tcW w:type="dxa" w:w="3249"/>
          </w:tcPr>
          <w:p>
            <w:r/>
            <w:r>
              <w:rPr>
                <w:sz w:val="18"/>
              </w:rPr>
              <w:t>Attributs du cookie</w:t>
            </w:r>
          </w:p>
        </w:tc>
        <w:tc>
          <w:tcPr>
            <w:tcW w:type="dxa" w:w="3249"/>
          </w:tcPr>
          <w:p>
            <w:r/>
            <w:r>
              <w:rPr>
                <w:sz w:val="18"/>
              </w:rPr>
              <w:t>HttpOnly et SameSite sur le cookie de session</w:t>
            </w:r>
          </w:p>
        </w:tc>
        <w:tc>
          <w:tcPr>
            <w:tcW w:type="dxa" w:w="3249"/>
          </w:tcPr>
          <w:p>
            <w:r/>
            <w:r>
              <w:rPr>
                <w:sz w:val="18"/>
              </w:rPr>
              <w:t>3</w:t>
            </w:r>
          </w:p>
        </w:tc>
      </w:tr>
    </w:tbl>
    <w:p/>
    <w:p>
      <w:r>
        <w:br w:type="page"/>
      </w:r>
    </w:p>
    <w:p>
      <w:pPr>
        <w:pStyle w:val="Heading1"/>
      </w:pPr>
      <w:r>
        <w:t>3. Résultats par classe d'attaque</w:t>
      </w:r>
    </w:p>
    <w:p>
      <w:r>
        <w:rPr>
          <w:b w:val="0"/>
          <w:i w:val="0"/>
          <w:sz w:val="20"/>
        </w:rPr>
        <w:t>Après correction, chaque attaque est repoussée par l'application. Le tableau donne, pour chaque classe, le nombre de cas testés et le résultat.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E8EDEB"/>
          </w:tcPr>
          <w:p>
            <w:r/>
            <w:r>
              <w:rPr>
                <w:b/>
                <w:sz w:val="18"/>
              </w:rPr>
              <w:t>Classe d'attaque</w:t>
            </w:r>
          </w:p>
        </w:tc>
        <w:tc>
          <w:tcPr>
            <w:tcW w:type="dxa" w:w="2436"/>
            <w:shd w:val="clear" w:fill="E8EDEB"/>
          </w:tcPr>
          <w:p>
            <w:r/>
            <w:r>
              <w:rPr>
                <w:b/>
                <w:sz w:val="18"/>
              </w:rPr>
              <w:t>Cas testés</w:t>
            </w:r>
          </w:p>
        </w:tc>
        <w:tc>
          <w:tcPr>
            <w:tcW w:type="dxa" w:w="2436"/>
            <w:shd w:val="clear" w:fill="E8EDEB"/>
          </w:tcPr>
          <w:p>
            <w:r/>
            <w:r>
              <w:rPr>
                <w:b/>
                <w:sz w:val="18"/>
              </w:rPr>
              <w:t>Vulnérabilités</w:t>
            </w:r>
          </w:p>
        </w:tc>
        <w:tc>
          <w:tcPr>
            <w:tcW w:type="dxa" w:w="2436"/>
            <w:shd w:val="clear" w:fill="E8EDEB"/>
          </w:tcPr>
          <w:p>
            <w:r/>
            <w:r>
              <w:rPr>
                <w:b/>
                <w:sz w:val="18"/>
              </w:rPr>
              <w:t>Verdict</w:t>
            </w:r>
          </w:p>
        </w:tc>
      </w:tr>
      <w:tr>
        <w:tc>
          <w:tcPr>
            <w:tcW w:type="dxa" w:w="2436"/>
          </w:tcPr>
          <w:p>
            <w:r/>
            <w:r>
              <w:rPr>
                <w:sz w:val="18"/>
              </w:rPr>
              <w:t>A. Injection SQL</w:t>
            </w:r>
          </w:p>
        </w:tc>
        <w:tc>
          <w:tcPr>
            <w:tcW w:type="dxa" w:w="2436"/>
          </w:tcPr>
          <w:p>
            <w:r/>
            <w:r>
              <w:rPr>
                <w:sz w:val="18"/>
              </w:rPr>
              <w:t>15</w:t>
            </w:r>
          </w:p>
        </w:tc>
        <w:tc>
          <w:tcPr>
            <w:tcW w:type="dxa" w:w="2436"/>
          </w:tcPr>
          <w:p>
            <w:r/>
            <w:r>
              <w:rPr>
                <w:sz w:val="18"/>
              </w:rPr>
              <w:t>Aucune</w:t>
            </w:r>
          </w:p>
        </w:tc>
        <w:tc>
          <w:tcPr>
            <w:tcW w:type="dxa" w:w="2436"/>
          </w:tcPr>
          <w:p>
            <w:r/>
            <w:r>
              <w:rPr>
                <w:sz w:val="18"/>
              </w:rPr>
              <w:t>Conforme</w:t>
            </w:r>
          </w:p>
        </w:tc>
      </w:tr>
      <w:tr>
        <w:tc>
          <w:tcPr>
            <w:tcW w:type="dxa" w:w="2436"/>
          </w:tcPr>
          <w:p>
            <w:r/>
            <w:r>
              <w:rPr>
                <w:sz w:val="18"/>
              </w:rPr>
              <w:t>B. XSS stocké</w:t>
            </w:r>
          </w:p>
        </w:tc>
        <w:tc>
          <w:tcPr>
            <w:tcW w:type="dxa" w:w="2436"/>
          </w:tcPr>
          <w:p>
            <w:r/>
            <w:r>
              <w:rPr>
                <w:sz w:val="18"/>
              </w:rPr>
              <w:t>7</w:t>
            </w:r>
          </w:p>
        </w:tc>
        <w:tc>
          <w:tcPr>
            <w:tcW w:type="dxa" w:w="2436"/>
          </w:tcPr>
          <w:p>
            <w:r/>
            <w:r>
              <w:rPr>
                <w:sz w:val="18"/>
              </w:rPr>
              <w:t>Aucune</w:t>
            </w:r>
          </w:p>
        </w:tc>
        <w:tc>
          <w:tcPr>
            <w:tcW w:type="dxa" w:w="2436"/>
          </w:tcPr>
          <w:p>
            <w:r/>
            <w:r>
              <w:rPr>
                <w:sz w:val="18"/>
              </w:rPr>
              <w:t>Conforme</w:t>
            </w:r>
          </w:p>
        </w:tc>
      </w:tr>
      <w:tr>
        <w:tc>
          <w:tcPr>
            <w:tcW w:type="dxa" w:w="2436"/>
          </w:tcPr>
          <w:p>
            <w:r/>
            <w:r>
              <w:rPr>
                <w:sz w:val="18"/>
              </w:rPr>
              <w:t>B. XSS réfléchi</w:t>
            </w:r>
          </w:p>
        </w:tc>
        <w:tc>
          <w:tcPr>
            <w:tcW w:type="dxa" w:w="2436"/>
          </w:tcPr>
          <w:p>
            <w:r/>
            <w:r>
              <w:rPr>
                <w:sz w:val="18"/>
              </w:rPr>
              <w:t>1</w:t>
            </w:r>
          </w:p>
        </w:tc>
        <w:tc>
          <w:tcPr>
            <w:tcW w:type="dxa" w:w="2436"/>
          </w:tcPr>
          <w:p>
            <w:r/>
            <w:r>
              <w:rPr>
                <w:sz w:val="18"/>
              </w:rPr>
              <w:t>Aucune</w:t>
            </w:r>
          </w:p>
        </w:tc>
        <w:tc>
          <w:tcPr>
            <w:tcW w:type="dxa" w:w="2436"/>
          </w:tcPr>
          <w:p>
            <w:r/>
            <w:r>
              <w:rPr>
                <w:sz w:val="18"/>
              </w:rPr>
              <w:t>Conforme</w:t>
            </w:r>
          </w:p>
        </w:tc>
      </w:tr>
      <w:tr>
        <w:tc>
          <w:tcPr>
            <w:tcW w:type="dxa" w:w="2436"/>
          </w:tcPr>
          <w:p>
            <w:r/>
            <w:r>
              <w:rPr>
                <w:sz w:val="18"/>
              </w:rPr>
              <w:t>C. CSRF</w:t>
            </w:r>
          </w:p>
        </w:tc>
        <w:tc>
          <w:tcPr>
            <w:tcW w:type="dxa" w:w="2436"/>
          </w:tcPr>
          <w:p>
            <w:r/>
            <w:r>
              <w:rPr>
                <w:sz w:val="18"/>
              </w:rPr>
              <w:t>5</w:t>
            </w:r>
          </w:p>
        </w:tc>
        <w:tc>
          <w:tcPr>
            <w:tcW w:type="dxa" w:w="2436"/>
          </w:tcPr>
          <w:p>
            <w:r/>
            <w:r>
              <w:rPr>
                <w:sz w:val="18"/>
              </w:rPr>
              <w:t>Aucune</w:t>
            </w:r>
          </w:p>
        </w:tc>
        <w:tc>
          <w:tcPr>
            <w:tcW w:type="dxa" w:w="2436"/>
          </w:tcPr>
          <w:p>
            <w:r/>
            <w:r>
              <w:rPr>
                <w:sz w:val="18"/>
              </w:rPr>
              <w:t>Conforme</w:t>
            </w:r>
          </w:p>
        </w:tc>
      </w:tr>
      <w:tr>
        <w:tc>
          <w:tcPr>
            <w:tcW w:type="dxa" w:w="2436"/>
          </w:tcPr>
          <w:p>
            <w:r/>
            <w:r>
              <w:rPr>
                <w:sz w:val="18"/>
              </w:rPr>
              <w:t>D. Authentification</w:t>
            </w:r>
          </w:p>
        </w:tc>
        <w:tc>
          <w:tcPr>
            <w:tcW w:type="dxa" w:w="2436"/>
          </w:tcPr>
          <w:p>
            <w:r/>
            <w:r>
              <w:rPr>
                <w:sz w:val="18"/>
              </w:rPr>
              <w:t>7</w:t>
            </w:r>
          </w:p>
        </w:tc>
        <w:tc>
          <w:tcPr>
            <w:tcW w:type="dxa" w:w="2436"/>
          </w:tcPr>
          <w:p>
            <w:r/>
            <w:r>
              <w:rPr>
                <w:sz w:val="18"/>
              </w:rPr>
              <w:t>Aucune</w:t>
            </w:r>
          </w:p>
        </w:tc>
        <w:tc>
          <w:tcPr>
            <w:tcW w:type="dxa" w:w="2436"/>
          </w:tcPr>
          <w:p>
            <w:r/>
            <w:r>
              <w:rPr>
                <w:sz w:val="18"/>
              </w:rPr>
              <w:t>Conforme</w:t>
            </w:r>
          </w:p>
        </w:tc>
      </w:tr>
      <w:tr>
        <w:tc>
          <w:tcPr>
            <w:tcW w:type="dxa" w:w="2436"/>
          </w:tcPr>
          <w:p>
            <w:r/>
            <w:r>
              <w:rPr>
                <w:sz w:val="18"/>
              </w:rPr>
              <w:t>E. Contrôle d'accès</w:t>
            </w:r>
          </w:p>
        </w:tc>
        <w:tc>
          <w:tcPr>
            <w:tcW w:type="dxa" w:w="2436"/>
          </w:tcPr>
          <w:p>
            <w:r/>
            <w:r>
              <w:rPr>
                <w:sz w:val="18"/>
              </w:rPr>
              <w:t>11</w:t>
            </w:r>
          </w:p>
        </w:tc>
        <w:tc>
          <w:tcPr>
            <w:tcW w:type="dxa" w:w="2436"/>
          </w:tcPr>
          <w:p>
            <w:r/>
            <w:r>
              <w:rPr>
                <w:sz w:val="18"/>
              </w:rPr>
              <w:t>Aucune</w:t>
            </w:r>
          </w:p>
        </w:tc>
        <w:tc>
          <w:tcPr>
            <w:tcW w:type="dxa" w:w="2436"/>
          </w:tcPr>
          <w:p>
            <w:r/>
            <w:r>
              <w:rPr>
                <w:sz w:val="18"/>
              </w:rPr>
              <w:t>Conforme</w:t>
            </w:r>
          </w:p>
        </w:tc>
      </w:tr>
      <w:tr>
        <w:tc>
          <w:tcPr>
            <w:tcW w:type="dxa" w:w="2436"/>
          </w:tcPr>
          <w:p>
            <w:r/>
            <w:r>
              <w:rPr>
                <w:sz w:val="18"/>
              </w:rPr>
              <w:t>F. Traversée de répertoire</w:t>
            </w:r>
          </w:p>
        </w:tc>
        <w:tc>
          <w:tcPr>
            <w:tcW w:type="dxa" w:w="2436"/>
          </w:tcPr>
          <w:p>
            <w:r/>
            <w:r>
              <w:rPr>
                <w:sz w:val="18"/>
              </w:rPr>
              <w:t>14</w:t>
            </w:r>
          </w:p>
        </w:tc>
        <w:tc>
          <w:tcPr>
            <w:tcW w:type="dxa" w:w="2436"/>
          </w:tcPr>
          <w:p>
            <w:r/>
            <w:r>
              <w:rPr>
                <w:sz w:val="18"/>
              </w:rPr>
              <w:t>Aucune</w:t>
            </w:r>
          </w:p>
        </w:tc>
        <w:tc>
          <w:tcPr>
            <w:tcW w:type="dxa" w:w="2436"/>
          </w:tcPr>
          <w:p>
            <w:r/>
            <w:r>
              <w:rPr>
                <w:sz w:val="18"/>
              </w:rPr>
              <w:t>Conforme</w:t>
            </w:r>
          </w:p>
        </w:tc>
      </w:tr>
      <w:tr>
        <w:tc>
          <w:tcPr>
            <w:tcW w:type="dxa" w:w="2436"/>
          </w:tcPr>
          <w:p>
            <w:r/>
            <w:r>
              <w:rPr>
                <w:sz w:val="18"/>
              </w:rPr>
              <w:t>G. Méthodes HTTP</w:t>
            </w:r>
          </w:p>
        </w:tc>
        <w:tc>
          <w:tcPr>
            <w:tcW w:type="dxa" w:w="2436"/>
          </w:tcPr>
          <w:p>
            <w:r/>
            <w:r>
              <w:rPr>
                <w:sz w:val="18"/>
              </w:rPr>
              <w:t>5</w:t>
            </w:r>
          </w:p>
        </w:tc>
        <w:tc>
          <w:tcPr>
            <w:tcW w:type="dxa" w:w="2436"/>
          </w:tcPr>
          <w:p>
            <w:r/>
            <w:r>
              <w:rPr>
                <w:sz w:val="18"/>
              </w:rPr>
              <w:t>Aucune</w:t>
            </w:r>
          </w:p>
        </w:tc>
        <w:tc>
          <w:tcPr>
            <w:tcW w:type="dxa" w:w="2436"/>
          </w:tcPr>
          <w:p>
            <w:r/>
            <w:r>
              <w:rPr>
                <w:sz w:val="18"/>
              </w:rPr>
              <w:t>Conforme</w:t>
            </w:r>
          </w:p>
        </w:tc>
      </w:tr>
      <w:tr>
        <w:tc>
          <w:tcPr>
            <w:tcW w:type="dxa" w:w="2436"/>
          </w:tcPr>
          <w:p>
            <w:r/>
            <w:r>
              <w:rPr>
                <w:sz w:val="18"/>
              </w:rPr>
              <w:t>H. Divulgation</w:t>
            </w:r>
          </w:p>
        </w:tc>
        <w:tc>
          <w:tcPr>
            <w:tcW w:type="dxa" w:w="2436"/>
          </w:tcPr>
          <w:p>
            <w:r/>
            <w:r>
              <w:rPr>
                <w:sz w:val="18"/>
              </w:rPr>
              <w:t>3</w:t>
            </w:r>
          </w:p>
        </w:tc>
        <w:tc>
          <w:tcPr>
            <w:tcW w:type="dxa" w:w="2436"/>
          </w:tcPr>
          <w:p>
            <w:r/>
            <w:r>
              <w:rPr>
                <w:sz w:val="18"/>
              </w:rPr>
              <w:t>Aucune</w:t>
            </w:r>
          </w:p>
        </w:tc>
        <w:tc>
          <w:tcPr>
            <w:tcW w:type="dxa" w:w="2436"/>
          </w:tcPr>
          <w:p>
            <w:r/>
            <w:r>
              <w:rPr>
                <w:sz w:val="18"/>
              </w:rPr>
              <w:t>Conforme</w:t>
            </w:r>
          </w:p>
        </w:tc>
      </w:tr>
      <w:tr>
        <w:tc>
          <w:tcPr>
            <w:tcW w:type="dxa" w:w="2436"/>
          </w:tcPr>
          <w:p>
            <w:r/>
            <w:r>
              <w:rPr>
                <w:sz w:val="18"/>
              </w:rPr>
              <w:t>I. En-têtes</w:t>
            </w:r>
          </w:p>
        </w:tc>
        <w:tc>
          <w:tcPr>
            <w:tcW w:type="dxa" w:w="2436"/>
          </w:tcPr>
          <w:p>
            <w:r/>
            <w:r>
              <w:rPr>
                <w:sz w:val="18"/>
              </w:rPr>
              <w:t>11</w:t>
            </w:r>
          </w:p>
        </w:tc>
        <w:tc>
          <w:tcPr>
            <w:tcW w:type="dxa" w:w="2436"/>
          </w:tcPr>
          <w:p>
            <w:r/>
            <w:r>
              <w:rPr>
                <w:sz w:val="18"/>
              </w:rPr>
              <w:t>Aucune</w:t>
            </w:r>
          </w:p>
        </w:tc>
        <w:tc>
          <w:tcPr>
            <w:tcW w:type="dxa" w:w="2436"/>
          </w:tcPr>
          <w:p>
            <w:r/>
            <w:r>
              <w:rPr>
                <w:sz w:val="18"/>
              </w:rPr>
              <w:t>Conforme</w:t>
            </w:r>
          </w:p>
        </w:tc>
      </w:tr>
      <w:tr>
        <w:tc>
          <w:tcPr>
            <w:tcW w:type="dxa" w:w="2436"/>
          </w:tcPr>
          <w:p>
            <w:r/>
            <w:r>
              <w:rPr>
                <w:sz w:val="18"/>
              </w:rPr>
              <w:t>I. Cookies</w:t>
            </w:r>
          </w:p>
        </w:tc>
        <w:tc>
          <w:tcPr>
            <w:tcW w:type="dxa" w:w="2436"/>
          </w:tcPr>
          <w:p>
            <w:r/>
            <w:r>
              <w:rPr>
                <w:sz w:val="18"/>
              </w:rPr>
              <w:t>1</w:t>
            </w:r>
          </w:p>
        </w:tc>
        <w:tc>
          <w:tcPr>
            <w:tcW w:type="dxa" w:w="2436"/>
          </w:tcPr>
          <w:p>
            <w:r/>
            <w:r>
              <w:rPr>
                <w:sz w:val="18"/>
              </w:rPr>
              <w:t>Aucune</w:t>
            </w:r>
          </w:p>
        </w:tc>
        <w:tc>
          <w:tcPr>
            <w:tcW w:type="dxa" w:w="2436"/>
          </w:tcPr>
          <w:p>
            <w:r/>
            <w:r>
              <w:rPr>
                <w:sz w:val="18"/>
              </w:rPr>
              <w:t>Conforme</w:t>
            </w:r>
          </w:p>
        </w:tc>
      </w:tr>
      <w:tr>
        <w:tc>
          <w:tcPr>
            <w:tcW w:type="dxa" w:w="2436"/>
          </w:tcPr>
          <w:p>
            <w:r/>
            <w:r>
              <w:rPr>
                <w:sz w:val="18"/>
              </w:rPr>
              <w:t>J. Redirection ouverte</w:t>
            </w:r>
          </w:p>
        </w:tc>
        <w:tc>
          <w:tcPr>
            <w:tcW w:type="dxa" w:w="2436"/>
          </w:tcPr>
          <w:p>
            <w:r/>
            <w:r>
              <w:rPr>
                <w:sz w:val="18"/>
              </w:rPr>
              <w:t>4</w:t>
            </w:r>
          </w:p>
        </w:tc>
        <w:tc>
          <w:tcPr>
            <w:tcW w:type="dxa" w:w="2436"/>
          </w:tcPr>
          <w:p>
            <w:r/>
            <w:r>
              <w:rPr>
                <w:sz w:val="18"/>
              </w:rPr>
              <w:t>Aucune</w:t>
            </w:r>
          </w:p>
        </w:tc>
        <w:tc>
          <w:tcPr>
            <w:tcW w:type="dxa" w:w="2436"/>
          </w:tcPr>
          <w:p>
            <w:r/>
            <w:r>
              <w:rPr>
                <w:sz w:val="18"/>
              </w:rPr>
              <w:t>Conforme</w:t>
            </w:r>
          </w:p>
        </w:tc>
      </w:tr>
      <w:tr>
        <w:tc>
          <w:tcPr>
            <w:tcW w:type="dxa" w:w="2436"/>
          </w:tcPr>
          <w:p>
            <w:r/>
            <w:r>
              <w:rPr>
                <w:sz w:val="18"/>
              </w:rPr>
              <w:t>K. SSTI</w:t>
            </w:r>
          </w:p>
        </w:tc>
        <w:tc>
          <w:tcPr>
            <w:tcW w:type="dxa" w:w="2436"/>
          </w:tcPr>
          <w:p>
            <w:r/>
            <w:r>
              <w:rPr>
                <w:sz w:val="18"/>
              </w:rPr>
              <w:t>6</w:t>
            </w:r>
          </w:p>
        </w:tc>
        <w:tc>
          <w:tcPr>
            <w:tcW w:type="dxa" w:w="2436"/>
          </w:tcPr>
          <w:p>
            <w:r/>
            <w:r>
              <w:rPr>
                <w:sz w:val="18"/>
              </w:rPr>
              <w:t>Aucune</w:t>
            </w:r>
          </w:p>
        </w:tc>
        <w:tc>
          <w:tcPr>
            <w:tcW w:type="dxa" w:w="2436"/>
          </w:tcPr>
          <w:p>
            <w:r/>
            <w:r>
              <w:rPr>
                <w:sz w:val="18"/>
              </w:rPr>
              <w:t>Conforme</w:t>
            </w:r>
          </w:p>
        </w:tc>
      </w:tr>
      <w:tr>
        <w:tc>
          <w:tcPr>
            <w:tcW w:type="dxa" w:w="2436"/>
          </w:tcPr>
          <w:p>
            <w:r/>
            <w:r>
              <w:rPr>
                <w:sz w:val="18"/>
              </w:rPr>
              <w:t>L. Abus de ressource</w:t>
            </w:r>
          </w:p>
        </w:tc>
        <w:tc>
          <w:tcPr>
            <w:tcW w:type="dxa" w:w="2436"/>
          </w:tcPr>
          <w:p>
            <w:r/>
            <w:r>
              <w:rPr>
                <w:sz w:val="18"/>
              </w:rPr>
              <w:t>1</w:t>
            </w:r>
          </w:p>
        </w:tc>
        <w:tc>
          <w:tcPr>
            <w:tcW w:type="dxa" w:w="2436"/>
          </w:tcPr>
          <w:p>
            <w:r/>
            <w:r>
              <w:rPr>
                <w:sz w:val="18"/>
              </w:rPr>
              <w:t>Aucune</w:t>
            </w:r>
          </w:p>
        </w:tc>
        <w:tc>
          <w:tcPr>
            <w:tcW w:type="dxa" w:w="2436"/>
          </w:tcPr>
          <w:p>
            <w:r/>
            <w:r>
              <w:rPr>
                <w:sz w:val="18"/>
              </w:rPr>
              <w:t>Conforme</w:t>
            </w:r>
          </w:p>
        </w:tc>
      </w:tr>
      <w:tr>
        <w:tc>
          <w:tcPr>
            <w:tcW w:type="dxa" w:w="2436"/>
          </w:tcPr>
          <w:p>
            <w:r/>
            <w:r>
              <w:rPr>
                <w:sz w:val="18"/>
              </w:rPr>
              <w:t>M. Cookies</w:t>
            </w:r>
          </w:p>
        </w:tc>
        <w:tc>
          <w:tcPr>
            <w:tcW w:type="dxa" w:w="2436"/>
          </w:tcPr>
          <w:p>
            <w:r/>
            <w:r>
              <w:rPr>
                <w:sz w:val="18"/>
              </w:rPr>
              <w:t>3</w:t>
            </w:r>
          </w:p>
        </w:tc>
        <w:tc>
          <w:tcPr>
            <w:tcW w:type="dxa" w:w="2436"/>
          </w:tcPr>
          <w:p>
            <w:r/>
            <w:r>
              <w:rPr>
                <w:sz w:val="18"/>
              </w:rPr>
              <w:t>Aucune</w:t>
            </w:r>
          </w:p>
        </w:tc>
        <w:tc>
          <w:tcPr>
            <w:tcW w:type="dxa" w:w="2436"/>
          </w:tcPr>
          <w:p>
            <w:r/>
            <w:r>
              <w:rPr>
                <w:sz w:val="18"/>
              </w:rPr>
              <w:t>Conforme</w:t>
            </w:r>
          </w:p>
        </w:tc>
      </w:tr>
    </w:tbl>
    <w:p/>
    <w:p>
      <w:pPr>
        <w:pStyle w:val="Heading2"/>
      </w:pPr>
      <w:r>
        <w:t>3.1 Détail des corrections et du re-test</w:t>
      </w:r>
    </w:p>
    <w:p>
      <w:pPr>
        <w:pStyle w:val="Heading3"/>
      </w:pPr>
      <w:r>
        <w:t>Énumération de comptes par le temps de réponse (Authentification)</w:t>
      </w:r>
    </w:p>
    <w:p>
      <w:r>
        <w:rPr>
          <w:b/>
          <w:sz w:val="20"/>
        </w:rPr>
        <w:t xml:space="preserve">Cause. </w:t>
      </w:r>
      <w:r>
        <w:rPr>
          <w:sz w:val="20"/>
        </w:rPr>
        <w:t>La vérification du mot de passe n'était exécutée que si l'identifiant existait. Un compte réel répondait en ~450 ms, un compte inexistant en ~70 ms. Cet écart de 362 ms permettait de constituer la liste des comptes valides sans jamais connaître un mot de passe.</w:t>
      </w:r>
    </w:p>
    <w:p>
      <w:r>
        <w:rPr>
          <w:b/>
          <w:sz w:val="20"/>
        </w:rPr>
        <w:t xml:space="preserve">Correctif appliqué. </w:t>
      </w:r>
      <w:r>
        <w:rPr>
          <w:sz w:val="20"/>
        </w:rPr>
        <w:t>Une empreinte de mot de passe factice est désormais vérifiée lorsque l'identifiant n'existe pas. Le temps de réponse ne dépend plus de l'existence du compte.</w:t>
      </w:r>
    </w:p>
    <w:p>
      <w:r>
        <w:rPr>
          <w:b/>
          <w:sz w:val="20"/>
        </w:rPr>
        <w:t xml:space="preserve">Vérification après correction. </w:t>
      </w:r>
      <w:r>
        <w:rPr>
          <w:color w:val="0B6B4F"/>
          <w:sz w:val="20"/>
        </w:rPr>
        <w:t>Écart ramené de 362 ms à 21 ms entre un compte existant et un compte inexistant, mesuré sur six requêtes par cas, compteur de tentatives remis à zéro avant chaque série.</w:t>
      </w:r>
    </w:p>
    <w:p>
      <w:pPr>
        <w:pStyle w:val="Heading3"/>
      </w:pPr>
      <w:r>
        <w:t>En-tête Server divulguant les versions exactes (Divulgation d'information)</w:t>
      </w:r>
    </w:p>
    <w:p>
      <w:r>
        <w:rPr>
          <w:b/>
          <w:sz w:val="20"/>
        </w:rPr>
        <w:t xml:space="preserve">Cause. </w:t>
      </w:r>
      <w:r>
        <w:rPr>
          <w:sz w:val="20"/>
        </w:rPr>
        <w:t>Le serveur annonçait « Werkzeug/3.1.8 Python/3.14.7 ». Une version exacte de cadre applicatif et d'interpréteur désigne directement les vulnérabilités publiques à tenter : c'est la première étape d'une reconnaissance automatisée.</w:t>
      </w:r>
    </w:p>
    <w:p>
      <w:r>
        <w:rPr>
          <w:b/>
          <w:sz w:val="20"/>
        </w:rPr>
        <w:t xml:space="preserve">Correctif appliqué. </w:t>
      </w:r>
      <w:r>
        <w:rPr>
          <w:sz w:val="20"/>
        </w:rPr>
        <w:t>—</w:t>
      </w:r>
    </w:p>
    <w:p>
      <w:r>
        <w:rPr>
          <w:b/>
          <w:sz w:val="20"/>
        </w:rPr>
        <w:t xml:space="preserve">Vérification après correction. </w:t>
      </w:r>
      <w:r>
        <w:rPr>
          <w:color w:val="0B6B4F"/>
          <w:sz w:val="20"/>
        </w:rPr>
        <w:t>—</w:t>
      </w:r>
    </w:p>
    <w:p>
      <w:pPr>
        <w:pStyle w:val="Heading3"/>
      </w:pPr>
      <w:r>
        <w:t>Absence de limitation de débit sur la page d'appel externe (Abus de ressource)</w:t>
      </w:r>
    </w:p>
    <w:p>
      <w:r>
        <w:rPr>
          <w:b/>
          <w:sz w:val="20"/>
        </w:rPr>
        <w:t xml:space="preserve">Cause. </w:t>
      </w:r>
      <w:r>
        <w:rPr>
          <w:sz w:val="20"/>
        </w:rPr>
        <w:t>La page de vérification de dépendance déclenche un appel sortant vers l'API OSV à chaque requête, sans aucune limitation. Elle pouvait servir d'amplificateur : quelques octets côté attaquant provoquaient une requête sortante coûteuse, avec un risque d'épuisement du quota du service tiers au détriment des autres visiteurs.</w:t>
      </w:r>
    </w:p>
    <w:p>
      <w:r>
        <w:rPr>
          <w:b/>
          <w:sz w:val="20"/>
        </w:rPr>
        <w:t xml:space="preserve">Correctif appliqué. </w:t>
      </w:r>
      <w:r>
        <w:rPr>
          <w:sz w:val="20"/>
        </w:rPr>
        <w:t>—</w:t>
      </w:r>
    </w:p>
    <w:p>
      <w:r>
        <w:rPr>
          <w:b/>
          <w:sz w:val="20"/>
        </w:rPr>
        <w:t xml:space="preserve">Vérification après correction. </w:t>
      </w:r>
      <w:r>
        <w:rPr>
          <w:color w:val="0B6B4F"/>
          <w:sz w:val="20"/>
        </w:rPr>
        <w:t>—</w:t>
      </w:r>
    </w:p>
    <w:p>
      <w:pPr>
        <w:pStyle w:val="Heading2"/>
      </w:pPr>
      <w:r>
        <w:t>3.2 Faux positifs écartés</w:t>
      </w:r>
    </w:p>
    <w:p>
      <w:r>
        <w:rPr>
          <w:b w:val="0"/>
          <w:i w:val="0"/>
          <w:sz w:val="20"/>
        </w:rPr>
        <w:t>Deux alertes ont été levées par une première version du test puis infirmées après vérification. Elles sont consignées ici : un rapport qui ne montre que les succès ne permet pas de juger la rigueur du test.</w:t>
      </w:r>
    </w:p>
    <w:p>
      <w:pPr>
        <w:pStyle w:val="Heading3"/>
      </w:pPr>
      <w:r>
        <w:t>Politique de sécurité du contenu incomplète</w:t>
      </w:r>
    </w:p>
    <w:p>
      <w:r>
        <w:rPr>
          <w:b w:val="0"/>
          <w:i w:val="0"/>
          <w:sz w:val="20"/>
        </w:rPr>
        <w:t>Signalée par une première version du test. La vérification cherchait « unsafe-inline » dans toute la politique, alors que l'occurrence légitime se trouve dans style-src, nécessaire aux styles en ligne. Après isolation de la seule directive script-src : « script-src 'self' », sans unsafe-inline, sans unsafe-eval, sans domaine externe. Le défaut était dans le test, pas dans l'application.</w:t>
      </w:r>
    </w:p>
    <w:p>
      <w:pPr>
        <w:pStyle w:val="Heading3"/>
      </w:pPr>
      <w:r>
        <w:t>Traces d'exception dans les pages d'erreur</w:t>
      </w:r>
    </w:p>
    <w:p>
      <w:r>
        <w:rPr>
          <w:b w:val="0"/>
          <w:i w:val="0"/>
          <w:sz w:val="20"/>
        </w:rPr>
        <w:t>Aucune trace trouvée. Les pages 400, 403, 404 et 500 renvoient un message générique, et le mode débogage de Werkzeug est désactivé.</w:t>
      </w:r>
    </w:p>
    <w:p>
      <w:r>
        <w:br w:type="page"/>
      </w:r>
    </w:p>
    <w:p>
      <w:pPr>
        <w:pStyle w:val="Heading1"/>
      </w:pPr>
      <w:r>
        <w:t>4. Défenses vérifiées</w:t>
      </w:r>
    </w:p>
    <w:p>
      <w:r>
        <w:rPr>
          <w:b w:val="0"/>
          <w:i w:val="0"/>
          <w:sz w:val="20"/>
        </w:rPr>
        <w:t>Ces mécanismes étaient en place avant le test. Ils ont été attaqués et ont résisté ; ils sont listés ici comme garanties vérifiées, et non comme intentions.</w:t>
      </w:r>
    </w:p>
    <w:p>
      <w:pPr>
        <w:pStyle w:val="Heading3"/>
      </w:pPr>
      <w:r>
        <w:t>Injection SQL</w:t>
      </w:r>
    </w:p>
    <w:p>
      <w:r>
        <w:rPr>
          <w:b w:val="0"/>
          <w:i w:val="0"/>
          <w:sz w:val="20"/>
        </w:rPr>
        <w:t>Toutes les requêtes sont paramétrées. Quinze charges — dont la destruction de table et l'union — ont été envoyées sur trois points d'entrée, sans résultat.</w:t>
      </w:r>
    </w:p>
    <w:p>
      <w:pPr>
        <w:pStyle w:val="Heading3"/>
      </w:pPr>
      <w:r>
        <w:t>Injection de code</w:t>
      </w:r>
    </w:p>
    <w:p>
      <w:r>
        <w:rPr>
          <w:b w:val="0"/>
          <w:i w:val="0"/>
          <w:sz w:val="20"/>
        </w:rPr>
        <w:t>L'échappement automatique des gabarits neutralise sept charges, y compris la forme imbriquée « &lt;&lt;script&gt; ». Aucune balise exécutable ne subsiste dans les écrans d'administration.</w:t>
      </w:r>
    </w:p>
    <w:p>
      <w:pPr>
        <w:pStyle w:val="Heading3"/>
      </w:pPr>
      <w:r>
        <w:t>Falsification de requête (CSRF)</w:t>
      </w:r>
    </w:p>
    <w:p>
      <w:r>
        <w:rPr>
          <w:b w:val="0"/>
          <w:i w:val="0"/>
          <w:sz w:val="20"/>
        </w:rPr>
        <w:t>Un jeton unique par session, comparé en temps constant, est exigé sur toutes les requêtes modifiant l'état. Quatre variantes ont été refusées en 400, y compris un jeton valide provenant d'une autre session.</w:t>
      </w:r>
    </w:p>
    <w:p>
      <w:pPr>
        <w:pStyle w:val="Heading3"/>
      </w:pPr>
      <w:r>
        <w:t>Authentification</w:t>
      </w:r>
    </w:p>
    <w:p>
      <w:r>
        <w:rPr>
          <w:b w:val="0"/>
          <w:i w:val="0"/>
          <w:sz w:val="20"/>
        </w:rPr>
        <w:t>La limitation de tentatives se déclenche à la sixième tentative. Un cookie de session falsifié est rejeté : la signature ne peut pas être reproduite sans la clé du serveur. L'identifiant de session est renouvelé à la connexion, ce qui neutralise la fixation de session.</w:t>
      </w:r>
    </w:p>
    <w:p>
      <w:pPr>
        <w:pStyle w:val="Heading3"/>
      </w:pPr>
      <w:r>
        <w:t>Contrôle d'accès</w:t>
      </w:r>
    </w:p>
    <w:p>
      <w:r>
        <w:rPr>
          <w:b w:val="0"/>
          <w:i w:val="0"/>
          <w:sz w:val="20"/>
        </w:rPr>
        <w:t>Les dix écrans d'administration renvoient une redirection vers la connexion sans session, sans divulguer la moindre donnée.</w:t>
      </w:r>
    </w:p>
    <w:p>
      <w:pPr>
        <w:pStyle w:val="Heading3"/>
      </w:pPr>
      <w:r>
        <w:t>Traversée de répertoire</w:t>
      </w:r>
    </w:p>
    <w:p>
      <w:r>
        <w:rPr>
          <w:b w:val="0"/>
          <w:i w:val="0"/>
          <w:sz w:val="20"/>
        </w:rPr>
        <w:t>Quatorze chemins ont été tentés — fichiers de configuration, base de données, identifiants, variantes encodées — tous refusés en 404. Aucun fichier n'est servi hors des dossiers prévus.</w:t>
      </w:r>
    </w:p>
    <w:p>
      <w:pPr>
        <w:pStyle w:val="Heading3"/>
      </w:pPr>
      <w:r>
        <w:t>Divulgation d'information</w:t>
      </w:r>
    </w:p>
    <w:p>
      <w:r>
        <w:rPr>
          <w:b w:val="0"/>
          <w:i w:val="0"/>
          <w:sz w:val="20"/>
        </w:rPr>
        <w:t>La console de débogage de Werkzeug est inaccessible, le mode débogage est désactivé, et aucune trace d'exception n'apparaît dans les réponses d'erreur.</w:t>
      </w:r>
    </w:p>
    <w:p>
      <w:pPr>
        <w:pStyle w:val="Heading3"/>
      </w:pPr>
      <w:r>
        <w:t>En-têtes de sécurité</w:t>
      </w:r>
    </w:p>
    <w:p>
      <w:r>
        <w:rPr>
          <w:b w:val="0"/>
          <w:i w:val="0"/>
          <w:sz w:val="20"/>
        </w:rPr>
        <w:t>Sept en-têtes sont présents et corrects : politique de contenu sans script externe ni unsafe-inline, refus d'encadrement, nosniff, politique de référent, restriction des capacités navigateur, isolation d'origine.</w:t>
      </w:r>
    </w:p>
    <w:p>
      <w:pPr>
        <w:pStyle w:val="Heading3"/>
      </w:pPr>
      <w:r>
        <w:t>Cookie de session</w:t>
      </w:r>
    </w:p>
    <w:p>
      <w:r>
        <w:rPr>
          <w:b w:val="0"/>
          <w:i w:val="0"/>
          <w:sz w:val="20"/>
        </w:rPr>
        <w:t>HttpOnly et SameSite=Lax sont présents. L'absence de Secure est attendue en HTTP local ; l'attribut est activé automatiquement dès que l'application détecte un hébergement.</w:t>
      </w:r>
    </w:p>
    <w:p>
      <w:pPr>
        <w:pStyle w:val="Heading3"/>
      </w:pPr>
      <w:r>
        <w:t>Redirection</w:t>
      </w:r>
    </w:p>
    <w:p>
      <w:r>
        <w:rPr>
          <w:b w:val="0"/>
          <w:i w:val="0"/>
          <w:sz w:val="20"/>
        </w:rPr>
        <w:t>Quatre destinations externes — dont une URL relative au protocole et un schéma javascript — ont été refusées : seuls les chemins internes sont acceptés après connexion.</w:t>
      </w:r>
    </w:p>
    <w:p>
      <w:r>
        <w:br w:type="page"/>
      </w:r>
    </w:p>
    <w:p>
      <w:pPr>
        <w:pStyle w:val="Heading1"/>
      </w:pPr>
      <w:r>
        <w:t>5. Recommandations avant mise en production</w:t>
      </w:r>
    </w:p>
    <w:p>
      <w:r>
        <w:rPr>
          <w:b w:val="0"/>
          <w:i w:val="0"/>
          <w:sz w:val="20"/>
        </w:rPr>
        <w:t>Ces points ne sont pas des vulnérabilités de l'application : ce sont les conditions à remplir pour que les défenses ci-dessus restent valables sur Internet.</w:t>
      </w:r>
    </w:p>
    <w:p>
      <w:pPr>
        <w:pStyle w:val="ListBullet"/>
      </w:pPr>
      <w:r>
        <w:rPr>
          <w:b/>
        </w:rPr>
        <w:t xml:space="preserve">Transport : </w:t>
      </w:r>
      <w:r>
        <w:t>servir l'application derrière HTTPS et activer l'en-tête HSTS. L'application le fait déjà automatiquement lorsqu'elle se détecte en hébergement.</w:t>
      </w:r>
    </w:p>
    <w:p>
      <w:pPr>
        <w:pStyle w:val="ListBullet"/>
      </w:pPr>
      <w:r>
        <w:rPr>
          <w:b/>
        </w:rPr>
        <w:t xml:space="preserve">Serveur : </w:t>
      </w:r>
      <w:r>
        <w:t>remplacer le serveur de développement Werkzeug par un serveur de production (Waitress, Gunicorn) et lui demander de masquer sa version, comme le fait actuellement la classe de gestionnaire de requêtes.</w:t>
      </w:r>
    </w:p>
    <w:p>
      <w:pPr>
        <w:pStyle w:val="ListBullet"/>
      </w:pPr>
      <w:r>
        <w:rPr>
          <w:b/>
        </w:rPr>
        <w:t xml:space="preserve">Configuration : </w:t>
      </w:r>
      <w:r>
        <w:t>définir AUDIT_SECRET_KEY et monter un volume persistant : sans clé stable, les sessions sont invalidées à chaque redéploiement ; sans volume, la base est recréée.</w:t>
      </w:r>
    </w:p>
    <w:p>
      <w:pPr>
        <w:pStyle w:val="ListBullet"/>
      </w:pPr>
      <w:r>
        <w:rPr>
          <w:b/>
        </w:rPr>
        <w:t xml:space="preserve">Multi-instance : </w:t>
      </w:r>
      <w:r>
        <w:t>déplacer la limitation de débit en mémoire vers un stockage partagé (Redis ou table dédiée) dès que l'application tourne sur plusieurs instances : chaque processus compte séparément.</w:t>
      </w:r>
    </w:p>
    <w:p>
      <w:pPr>
        <w:pStyle w:val="ListBullet"/>
      </w:pPr>
      <w:r>
        <w:rPr>
          <w:b/>
        </w:rPr>
        <w:t xml:space="preserve">Administration : </w:t>
      </w:r>
      <w:r>
        <w:t>exiger une authentification à deux facteurs pour l'accès d'administration, et le placer derrière un filtre réseau quand c'est possible.</w:t>
      </w:r>
    </w:p>
    <w:p>
      <w:pPr>
        <w:pStyle w:val="ListBullet"/>
      </w:pPr>
      <w:r>
        <w:rPr>
          <w:b/>
        </w:rPr>
        <w:t xml:space="preserve">Révision : </w:t>
      </w:r>
      <w:r>
        <w:t>faire relire cette évaluation par un tiers indépendant. L'auto-évaluation détecte les erreurs de mise en œuvre ; elle ne détecte pas les erreurs de conception.</w:t>
      </w:r>
    </w:p>
    <w:p/>
    <w:p>
      <w:r>
        <w:rPr>
          <w:b w:val="0"/>
          <w:i/>
          <w:color w:val="505A55"/>
          <w:sz w:val="18"/>
        </w:rPr>
        <w:t>Fin du rapport.</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B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