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0B6B4F"/>
          <w:sz w:val="44"/>
        </w:rPr>
        <w:t>BASTION</w:t>
      </w:r>
    </w:p>
    <w:p>
      <w:r>
        <w:rPr>
          <w:b w:val="0"/>
          <w:i w:val="0"/>
          <w:color w:val="505A55"/>
          <w:sz w:val="22"/>
        </w:rPr>
        <w:t>Audit &amp; test d'intrusion</w:t>
      </w:r>
    </w:p>
    <w:p/>
    <w:p/>
    <w:p>
      <w:r>
        <w:rPr>
          <w:b/>
          <w:color w:val="111111"/>
          <w:sz w:val="52"/>
        </w:rPr>
        <w:t>Rapport de test d'intrusion — exemple anonymisé</w:t>
      </w:r>
    </w:p>
    <w:p>
      <w:r>
        <w:rPr>
          <w:b w:val="0"/>
          <w:i/>
          <w:color w:val="B42318"/>
          <w:sz w:val="22"/>
        </w:rPr>
        <w:t>Document de démonstration — données entièrement fictives</w:t>
      </w:r>
    </w:p>
    <w:p/>
    <w:tbl>
      <w:tblPr>
        <w:tblStyle w:val="TableGrid"/>
        <w:tblW w:type="auto" w:w="0"/>
        <w:tblLook w:firstColumn="1" w:firstRow="1" w:lastColumn="0" w:lastRow="0" w:noHBand="0" w:noVBand="1" w:val="04A0"/>
      </w:tblPr>
      <w:tblGrid>
        <w:gridCol w:w="4873"/>
        <w:gridCol w:w="4873"/>
      </w:tblGrid>
      <w:tr>
        <w:tc>
          <w:tcPr>
            <w:tcW w:type="dxa" w:w="4873"/>
            <w:shd w:val="clear" w:fill="F4F6F5"/>
          </w:tcPr>
          <w:p>
            <w:r/>
            <w:r>
              <w:rPr>
                <w:b/>
                <w:sz w:val="18"/>
              </w:rPr>
              <w:t>Organisation auditée</w:t>
            </w:r>
          </w:p>
        </w:tc>
        <w:tc>
          <w:tcPr>
            <w:tcW w:type="dxa" w:w="4873"/>
          </w:tcPr>
          <w:p>
            <w:r/>
            <w:r>
              <w:rPr>
                <w:sz w:val="18"/>
              </w:rPr>
              <w:t>Exemple-Client (organisation fictive)</w:t>
            </w:r>
          </w:p>
        </w:tc>
      </w:tr>
      <w:tr>
        <w:tc>
          <w:tcPr>
            <w:tcW w:type="dxa" w:w="4873"/>
            <w:shd w:val="clear" w:fill="F4F6F5"/>
          </w:tcPr>
          <w:p>
            <w:r/>
            <w:r>
              <w:rPr>
                <w:b/>
                <w:sz w:val="18"/>
              </w:rPr>
              <w:t>Référence de mission</w:t>
            </w:r>
          </w:p>
        </w:tc>
        <w:tc>
          <w:tcPr>
            <w:tcW w:type="dxa" w:w="4873"/>
          </w:tcPr>
          <w:p>
            <w:r/>
            <w:r>
              <w:rPr>
                <w:sz w:val="18"/>
              </w:rPr>
              <w:t>AUD-2026-XXX</w:t>
            </w:r>
          </w:p>
        </w:tc>
      </w:tr>
      <w:tr>
        <w:tc>
          <w:tcPr>
            <w:tcW w:type="dxa" w:w="4873"/>
            <w:shd w:val="clear" w:fill="F4F6F5"/>
          </w:tcPr>
          <w:p>
            <w:r/>
            <w:r>
              <w:rPr>
                <w:b/>
                <w:sz w:val="18"/>
              </w:rPr>
              <w:t>Période d'intervention</w:t>
            </w:r>
          </w:p>
        </w:tc>
        <w:tc>
          <w:tcPr>
            <w:tcW w:type="dxa" w:w="4873"/>
          </w:tcPr>
          <w:p>
            <w:r/>
            <w:r>
              <w:rPr>
                <w:sz w:val="18"/>
              </w:rPr>
              <w:t>du 3 au 14 mars 2026</w:t>
            </w:r>
          </w:p>
        </w:tc>
      </w:tr>
      <w:tr>
        <w:tc>
          <w:tcPr>
            <w:tcW w:type="dxa" w:w="4873"/>
            <w:shd w:val="clear" w:fill="F4F6F5"/>
          </w:tcPr>
          <w:p>
            <w:r/>
            <w:r>
              <w:rPr>
                <w:b/>
                <w:sz w:val="18"/>
              </w:rPr>
              <w:t>Référentiels appliqués</w:t>
            </w:r>
          </w:p>
        </w:tc>
        <w:tc>
          <w:tcPr>
            <w:tcW w:type="dxa" w:w="4873"/>
          </w:tcPr>
          <w:p>
            <w:r/>
            <w:r>
              <w:rPr>
                <w:sz w:val="18"/>
              </w:rPr>
              <w:t>OWASP Top 10, OWASP ASVS niveau 2, PTES, NIST SP 800-115</w:t>
            </w:r>
          </w:p>
        </w:tc>
      </w:tr>
      <w:tr>
        <w:tc>
          <w:tcPr>
            <w:tcW w:type="dxa" w:w="4873"/>
            <w:shd w:val="clear" w:fill="F4F6F5"/>
          </w:tcPr>
          <w:p>
            <w:r/>
            <w:r>
              <w:rPr>
                <w:b/>
                <w:sz w:val="18"/>
              </w:rPr>
              <w:t>Périmètre</w:t>
            </w:r>
          </w:p>
        </w:tc>
        <w:tc>
          <w:tcPr>
            <w:tcW w:type="dxa" w:w="4873"/>
          </w:tcPr>
          <w:p>
            <w:r/>
            <w:r>
              <w:rPr>
                <w:sz w:val="18"/>
              </w:rPr>
              <w:t>Portail client, tunnel de commande, API publique (v1 et v2)</w:t>
            </w:r>
          </w:p>
        </w:tc>
      </w:tr>
      <w:tr>
        <w:tc>
          <w:tcPr>
            <w:tcW w:type="dxa" w:w="4873"/>
            <w:shd w:val="clear" w:fill="F4F6F5"/>
          </w:tcPr>
          <w:p>
            <w:r/>
            <w:r>
              <w:rPr>
                <w:b/>
                <w:sz w:val="18"/>
              </w:rPr>
              <w:t>Version du document</w:t>
            </w:r>
          </w:p>
        </w:tc>
        <w:tc>
          <w:tcPr>
            <w:tcW w:type="dxa" w:w="4873"/>
          </w:tcPr>
          <w:p>
            <w:r/>
            <w:r>
              <w:rPr>
                <w:sz w:val="18"/>
              </w:rPr>
              <w:t>1.0 — exemple de démonstration</w:t>
            </w:r>
          </w:p>
        </w:tc>
      </w:tr>
      <w:tr>
        <w:tc>
          <w:tcPr>
            <w:tcW w:type="dxa" w:w="4873"/>
            <w:shd w:val="clear" w:fill="F4F6F5"/>
          </w:tcPr>
          <w:p>
            <w:r/>
            <w:r>
              <w:rPr>
                <w:b/>
                <w:sz w:val="18"/>
              </w:rPr>
              <w:t>Date d'émission</w:t>
            </w:r>
          </w:p>
        </w:tc>
        <w:tc>
          <w:tcPr>
            <w:tcW w:type="dxa" w:w="4873"/>
          </w:tcPr>
          <w:p>
            <w:r/>
            <w:r>
              <w:rPr>
                <w:sz w:val="18"/>
              </w:rPr>
              <w:t>18/09/2026</w:t>
            </w:r>
          </w:p>
        </w:tc>
      </w:tr>
      <w:tr>
        <w:tc>
          <w:tcPr>
            <w:tcW w:type="dxa" w:w="4873"/>
            <w:shd w:val="clear" w:fill="F4F6F5"/>
          </w:tcPr>
          <w:p>
            <w:r/>
            <w:r>
              <w:rPr>
                <w:b/>
                <w:sz w:val="18"/>
              </w:rPr>
              <w:t>Classification</w:t>
            </w:r>
          </w:p>
        </w:tc>
        <w:tc>
          <w:tcPr>
            <w:tcW w:type="dxa" w:w="4873"/>
          </w:tcPr>
          <w:p>
            <w:r/>
            <w:r>
              <w:rPr>
                <w:sz w:val="18"/>
              </w:rPr>
              <w:t>Confidentiel — diffusion restreinte</w:t>
            </w:r>
          </w:p>
        </w:tc>
      </w:tr>
    </w:tbl>
    <w:p/>
    <w:p>
      <w:r>
        <w:rPr>
          <w:b/>
          <w:i w:val="0"/>
          <w:sz w:val="20"/>
        </w:rPr>
        <w:t>Avertissement</w:t>
      </w:r>
    </w:p>
    <w:p>
      <w:r>
        <w:rPr>
          <w:b w:val="0"/>
          <w:i w:val="0"/>
          <w:color w:val="505A55"/>
          <w:sz w:val="19"/>
        </w:rPr>
        <w:t>Ce document est un exemple de démonstration. L'organisation, les adresses, les identifiants, les extraits de requêtes et de réponses sont entièrement fictifs et ont été construits pour illustrer la structure d'un rapport réel. Il est publiquement téléchargeable et ne correspond à aucune mission effectuée.</w:t>
      </w:r>
    </w:p>
    <w:p>
      <w:r>
        <w:br w:type="page"/>
      </w:r>
    </w:p>
    <w:p>
      <w:pPr>
        <w:pStyle w:val="Heading1"/>
      </w:pPr>
      <w:r>
        <w:t>1. Synthèse exécutive</w:t>
      </w:r>
    </w:p>
    <w:p>
      <w:r>
        <w:rPr>
          <w:b w:val="0"/>
          <w:i w:val="0"/>
        </w:rPr>
        <w:t>Ce document s'adresse à la direction et au comité des risques. La partie technique, destinée aux équipes de développement, commence au chapitre 4.</w:t>
      </w:r>
    </w:p>
    <w:p>
      <w:pPr>
        <w:pStyle w:val="Heading2"/>
      </w:pPr>
      <w:r>
        <w:t>1.1 Niveau de risque global</w:t>
      </w:r>
    </w:p>
    <w:p>
      <w:r>
        <w:rPr>
          <w:b w:val="0"/>
          <w:i w:val="0"/>
          <w:sz w:val="20"/>
        </w:rPr>
        <w:t>Le niveau de risque global de l'application auditée est jugé ÉLEVÉ. Deux vulnérabilités critiques permettent à une personne non authentifiée d'extraire des données utilisateurs, et le cloisonnement entre clients n'est pas assuré sur plusieurs points d'entrée.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E8EDEB"/>
          </w:tcPr>
          <w:p>
            <w:r/>
            <w:r>
              <w:rPr>
                <w:b/>
                <w:sz w:val="18"/>
              </w:rPr>
              <w:t>Niveau</w:t>
            </w:r>
          </w:p>
        </w:tc>
        <w:tc>
          <w:tcPr>
            <w:tcW w:type="dxa" w:w="2436"/>
            <w:shd w:val="clear" w:fill="E8EDEB"/>
          </w:tcPr>
          <w:p>
            <w:r/>
            <w:r>
              <w:rPr>
                <w:b/>
                <w:sz w:val="18"/>
              </w:rPr>
              <w:t>Nombre</w:t>
            </w:r>
          </w:p>
        </w:tc>
        <w:tc>
          <w:tcPr>
            <w:tcW w:type="dxa" w:w="2436"/>
            <w:shd w:val="clear" w:fill="E8EDEB"/>
          </w:tcPr>
          <w:p>
            <w:r/>
            <w:r>
              <w:rPr>
                <w:b/>
                <w:sz w:val="18"/>
              </w:rPr>
              <w:t>Délai de correction recommandé</w:t>
            </w:r>
          </w:p>
        </w:tc>
        <w:tc>
          <w:tcPr>
            <w:tcW w:type="dxa" w:w="2436"/>
            <w:shd w:val="clear" w:fill="E8EDEB"/>
          </w:tcPr>
          <w:p>
            <w:r/>
            <w:r>
              <w:rPr>
                <w:b/>
                <w:sz w:val="18"/>
              </w:rPr>
              <w:t>Exposition</w:t>
            </w:r>
          </w:p>
        </w:tc>
      </w:tr>
      <w:tr>
        <w:tc>
          <w:tcPr>
            <w:tcW w:type="dxa" w:w="2436"/>
          </w:tcPr>
          <w:p>
            <w:r/>
            <w:r>
              <w:rPr>
                <w:b/>
                <w:color w:val="B42318"/>
                <w:sz w:val="18"/>
              </w:rPr>
              <w:t>Critique</w:t>
            </w:r>
          </w:p>
        </w:tc>
        <w:tc>
          <w:tcPr>
            <w:tcW w:type="dxa" w:w="2436"/>
          </w:tcPr>
          <w:p>
            <w:r/>
            <w:r>
              <w:rPr>
                <w:sz w:val="18"/>
              </w:rPr>
              <w:t>2</w:t>
            </w:r>
          </w:p>
        </w:tc>
        <w:tc>
          <w:tcPr>
            <w:tcW w:type="dxa" w:w="2436"/>
          </w:tcPr>
          <w:p>
            <w:r/>
            <w:r>
              <w:rPr>
                <w:sz w:val="18"/>
              </w:rPr>
              <w:t>7 jours</w:t>
            </w:r>
          </w:p>
        </w:tc>
        <w:tc>
          <w:tcPr>
            <w:tcW w:type="dxa" w:w="2436"/>
          </w:tcPr>
          <w:p>
            <w:r/>
            <w:r>
              <w:rPr>
                <w:sz w:val="18"/>
              </w:rPr>
              <w:t>Données exposées à un visiteur anonyme</w:t>
            </w:r>
          </w:p>
        </w:tc>
      </w:tr>
      <w:tr>
        <w:tc>
          <w:tcPr>
            <w:tcW w:type="dxa" w:w="2436"/>
          </w:tcPr>
          <w:p>
            <w:r/>
            <w:r>
              <w:rPr>
                <w:sz w:val="18"/>
              </w:rPr>
              <w:t>Élevé</w:t>
            </w:r>
          </w:p>
        </w:tc>
        <w:tc>
          <w:tcPr>
            <w:tcW w:type="dxa" w:w="2436"/>
          </w:tcPr>
          <w:p>
            <w:r/>
            <w:r>
              <w:rPr>
                <w:sz w:val="18"/>
              </w:rPr>
              <w:t>3</w:t>
            </w:r>
          </w:p>
        </w:tc>
        <w:tc>
          <w:tcPr>
            <w:tcW w:type="dxa" w:w="2436"/>
          </w:tcPr>
          <w:p>
            <w:r/>
            <w:r>
              <w:rPr>
                <w:sz w:val="18"/>
              </w:rPr>
              <w:t>30 jours</w:t>
            </w:r>
          </w:p>
        </w:tc>
        <w:tc>
          <w:tcPr>
            <w:tcW w:type="dxa" w:w="2436"/>
          </w:tcPr>
          <w:p>
            <w:r/>
            <w:r>
              <w:rPr>
                <w:sz w:val="18"/>
              </w:rPr>
              <w:t>Compromission de comptes et cloisonnement rompu</w:t>
            </w:r>
          </w:p>
        </w:tc>
      </w:tr>
      <w:tr>
        <w:tc>
          <w:tcPr>
            <w:tcW w:type="dxa" w:w="2436"/>
          </w:tcPr>
          <w:p>
            <w:r/>
            <w:r>
              <w:rPr>
                <w:sz w:val="18"/>
              </w:rPr>
              <w:t>Moyen</w:t>
            </w:r>
          </w:p>
        </w:tc>
        <w:tc>
          <w:tcPr>
            <w:tcW w:type="dxa" w:w="2436"/>
          </w:tcPr>
          <w:p>
            <w:r/>
            <w:r>
              <w:rPr>
                <w:sz w:val="18"/>
              </w:rPr>
              <w:t>2</w:t>
            </w:r>
          </w:p>
        </w:tc>
        <w:tc>
          <w:tcPr>
            <w:tcW w:type="dxa" w:w="2436"/>
          </w:tcPr>
          <w:p>
            <w:r/>
            <w:r>
              <w:rPr>
                <w:sz w:val="18"/>
              </w:rPr>
              <w:t>90 jours</w:t>
            </w:r>
          </w:p>
        </w:tc>
        <w:tc>
          <w:tcPr>
            <w:tcW w:type="dxa" w:w="2436"/>
          </w:tcPr>
          <w:p>
            <w:r/>
            <w:r>
              <w:rPr>
                <w:sz w:val="18"/>
              </w:rPr>
              <w:t>Facilitation d'attaques, reconnaissance</w:t>
            </w:r>
          </w:p>
        </w:tc>
      </w:tr>
      <w:tr>
        <w:tc>
          <w:tcPr>
            <w:tcW w:type="dxa" w:w="2436"/>
          </w:tcPr>
          <w:p>
            <w:r/>
            <w:r>
              <w:rPr>
                <w:sz w:val="18"/>
              </w:rPr>
              <w:t>Faible</w:t>
            </w:r>
          </w:p>
        </w:tc>
        <w:tc>
          <w:tcPr>
            <w:tcW w:type="dxa" w:w="2436"/>
          </w:tcPr>
          <w:p>
            <w:r/>
            <w:r>
              <w:rPr>
                <w:sz w:val="18"/>
              </w:rPr>
              <w:t>1</w:t>
            </w:r>
          </w:p>
        </w:tc>
        <w:tc>
          <w:tcPr>
            <w:tcW w:type="dxa" w:w="2436"/>
          </w:tcPr>
          <w:p>
            <w:r/>
            <w:r>
              <w:rPr>
                <w:sz w:val="18"/>
              </w:rPr>
              <w:t>Au prochain cycle</w:t>
            </w:r>
          </w:p>
        </w:tc>
        <w:tc>
          <w:tcPr>
            <w:tcW w:type="dxa" w:w="2436"/>
          </w:tcPr>
          <w:p>
            <w:r/>
            <w:r>
              <w:rPr>
                <w:sz w:val="18"/>
              </w:rPr>
              <w:t>Impact limité sans faille associée</w:t>
            </w:r>
          </w:p>
        </w:tc>
      </w:tr>
    </w:tbl>
    <w:p/>
    <w:p>
      <w:pPr>
        <w:pStyle w:val="Heading2"/>
      </w:pPr>
      <w:r>
        <w:t>1.2 Les trois scénarios d'attaque les plus dangereux</w:t>
      </w:r>
    </w:p>
    <w:p>
      <w:r>
        <w:rPr>
          <w:b w:val="0"/>
          <w:i w:val="0"/>
          <w:sz w:val="20"/>
        </w:rPr>
        <w:t>Ces scénarios ont été reproduits et vérifiés pendant la mission. Ils décrivent ce qu'un attaquant obtiendrait réellement, sans connaissance préalable du système.</w:t>
      </w:r>
    </w:p>
    <w:p>
      <w:pPr>
        <w:pStyle w:val="Heading3"/>
      </w:pPr>
      <w:r>
        <w:t>Scénario 1 — Extraction de la base utilisateurs depuis l'extérieur</w:t>
      </w:r>
    </w:p>
    <w:p>
      <w:r>
        <w:rPr>
          <w:b w:val="0"/>
          <w:i w:val="0"/>
          <w:sz w:val="20"/>
        </w:rPr>
        <w:t>Un visiteur non authentifié obtient les adresses électroniques et les empreintes de mots de passe des clients, en quelques minutes, depuis n'importe quel poste connecté à Internet. Aucune trace n'apparaît dans les journaux applicatifs.</w:t>
      </w:r>
    </w:p>
    <w:p>
      <w:pPr>
        <w:pStyle w:val="Heading3"/>
      </w:pPr>
      <w:r>
        <w:t>Scénario 2 — Lecture des factures d'un autre client</w:t>
      </w:r>
    </w:p>
    <w:p>
      <w:r>
        <w:rPr>
          <w:b w:val="0"/>
          <w:i w:val="0"/>
          <w:sz w:val="20"/>
        </w:rPr>
        <w:t>Un client connecté consulte les factures, les coordonnées et l'historique d'achat de tous les autres clients, en modifiant un numéro dans l'adresse de la page. Une fuite de données personnelles au sens du RGPD, avec obligation de notification.</w:t>
      </w:r>
    </w:p>
    <w:p>
      <w:pPr>
        <w:pStyle w:val="Heading3"/>
      </w:pPr>
      <w:r>
        <w:t>Scénario 3 — Contournement du contrôle d'accès de l'API mobile</w:t>
      </w:r>
    </w:p>
    <w:p>
      <w:r>
        <w:rPr>
          <w:b w:val="0"/>
          <w:i w:val="0"/>
          <w:sz w:val="20"/>
        </w:rPr>
        <w:t>Un compte de niveau standard atteint les dossiers d'un autre service, pièces jointes comprises, ce qui rompt le cloisonnement prévu par l'organisation et expose des dossiers confidentiels.</w:t>
      </w:r>
    </w:p>
    <w:p>
      <w:pPr>
        <w:pStyle w:val="Heading2"/>
      </w:pPr>
      <w:r>
        <w:t>1.3 Impact pour l'activité</w:t>
      </w:r>
    </w:p>
    <w:p>
      <w:pPr>
        <w:pStyle w:val="ListBullet"/>
      </w:pPr>
      <w:r>
        <w:rPr>
          <w:b/>
        </w:rPr>
        <w:t xml:space="preserve">Conformité : </w:t>
      </w:r>
      <w:r>
        <w:t>exposition à une notification de violation de données et à une sanction administrative, pour les scénarios 1 et 2 ;</w:t>
      </w:r>
    </w:p>
    <w:p>
      <w:pPr>
        <w:pStyle w:val="ListBullet"/>
      </w:pPr>
      <w:r>
        <w:rPr>
          <w:b/>
        </w:rPr>
        <w:t xml:space="preserve">Réputation : </w:t>
      </w:r>
      <w:r>
        <w:t>perte de confiance des clients professionnels, dont certains exigent contractuellement un niveau de sécurité démontré ;</w:t>
      </w:r>
    </w:p>
    <w:p>
      <w:pPr>
        <w:pStyle w:val="ListBullet"/>
      </w:pPr>
      <w:r>
        <w:rPr>
          <w:b/>
        </w:rPr>
        <w:t xml:space="preserve">Exploitation : </w:t>
      </w:r>
      <w:r>
        <w:t>aucune interruption de service observée, mais le scénario 1 permet la récupération des empreintes de mots de passe, qui conduit souvent à une compromission de comptes sur d'autres services, par réutilisation.</w:t>
      </w:r>
    </w:p>
    <w:p>
      <w:pPr>
        <w:pStyle w:val="Heading2"/>
      </w:pPr>
      <w:r>
        <w:t>1.4 Décisions attendues</w:t>
      </w:r>
    </w:p>
    <w:tbl>
      <w:tblPr>
        <w:tblStyle w:val="TableGrid"/>
        <w:tblW w:type="auto" w:w="0"/>
        <w:tblLook w:firstColumn="1" w:firstRow="1" w:lastColumn="0" w:lastRow="0" w:noHBand="0" w:noVBand="1" w:val="04A0"/>
      </w:tblPr>
      <w:tblGrid>
        <w:gridCol w:w="3249"/>
        <w:gridCol w:w="3249"/>
        <w:gridCol w:w="3249"/>
      </w:tblGrid>
      <w:tr>
        <w:tc>
          <w:tcPr>
            <w:tcW w:type="dxa" w:w="3249"/>
            <w:shd w:val="clear" w:fill="E8EDEB"/>
          </w:tcPr>
          <w:p>
            <w:r/>
            <w:r>
              <w:rPr>
                <w:b/>
                <w:sz w:val="18"/>
              </w:rPr>
              <w:t>Priorité</w:t>
            </w:r>
          </w:p>
        </w:tc>
        <w:tc>
          <w:tcPr>
            <w:tcW w:type="dxa" w:w="3249"/>
            <w:shd w:val="clear" w:fill="E8EDEB"/>
          </w:tcPr>
          <w:p>
            <w:r/>
            <w:r>
              <w:rPr>
                <w:b/>
                <w:sz w:val="18"/>
              </w:rPr>
              <w:t>Action</w:t>
            </w:r>
          </w:p>
        </w:tc>
        <w:tc>
          <w:tcPr>
            <w:tcW w:type="dxa" w:w="3249"/>
            <w:shd w:val="clear" w:fill="E8EDEB"/>
          </w:tcPr>
          <w:p>
            <w:r/>
            <w:r>
              <w:rPr>
                <w:b/>
                <w:sz w:val="18"/>
              </w:rPr>
              <w:t>Effort estimé</w:t>
            </w:r>
          </w:p>
        </w:tc>
      </w:tr>
      <w:tr>
        <w:tc>
          <w:tcPr>
            <w:tcW w:type="dxa" w:w="3249"/>
          </w:tcPr>
          <w:p>
            <w:r/>
            <w:r>
              <w:rPr>
                <w:b/>
                <w:sz w:val="18"/>
              </w:rPr>
              <w:t>Immédiat</w:t>
            </w:r>
          </w:p>
        </w:tc>
        <w:tc>
          <w:tcPr>
            <w:tcW w:type="dxa" w:w="3249"/>
          </w:tcPr>
          <w:p>
            <w:r/>
            <w:r>
              <w:rPr>
                <w:sz w:val="18"/>
              </w:rPr>
              <w:t>Paramétrer les requêtes SQL du catalogue et contrôler la propriété des objets côté serveur</w:t>
            </w:r>
          </w:p>
        </w:tc>
        <w:tc>
          <w:tcPr>
            <w:tcW w:type="dxa" w:w="3249"/>
          </w:tcPr>
          <w:p>
            <w:r/>
            <w:r>
              <w:rPr>
                <w:sz w:val="18"/>
              </w:rPr>
              <w:t>2 à 3 jours de développement</w:t>
            </w:r>
          </w:p>
        </w:tc>
      </w:tr>
      <w:tr>
        <w:tc>
          <w:tcPr>
            <w:tcW w:type="dxa" w:w="3249"/>
          </w:tcPr>
          <w:p>
            <w:r/>
            <w:r>
              <w:rPr>
                <w:b/>
                <w:sz w:val="18"/>
              </w:rPr>
              <w:t>7 jours</w:t>
            </w:r>
          </w:p>
        </w:tc>
        <w:tc>
          <w:tcPr>
            <w:tcW w:type="dxa" w:w="3249"/>
          </w:tcPr>
          <w:p>
            <w:r/>
            <w:r>
              <w:rPr>
                <w:sz w:val="18"/>
              </w:rPr>
              <w:t>Limiter le débit sur l'authentification et raccourcir la durée de vie des jetons de session</w:t>
            </w:r>
          </w:p>
        </w:tc>
        <w:tc>
          <w:tcPr>
            <w:tcW w:type="dxa" w:w="3249"/>
          </w:tcPr>
          <w:p>
            <w:r/>
            <w:r>
              <w:rPr>
                <w:sz w:val="18"/>
              </w:rPr>
              <w:t>1 à 2 jours</w:t>
            </w:r>
          </w:p>
        </w:tc>
      </w:tr>
      <w:tr>
        <w:tc>
          <w:tcPr>
            <w:tcW w:type="dxa" w:w="3249"/>
          </w:tcPr>
          <w:p>
            <w:r/>
            <w:r>
              <w:rPr>
                <w:b/>
                <w:sz w:val="18"/>
              </w:rPr>
              <w:t>30 jours</w:t>
            </w:r>
          </w:p>
        </w:tc>
        <w:tc>
          <w:tcPr>
            <w:tcW w:type="dxa" w:w="3249"/>
          </w:tcPr>
          <w:p>
            <w:r/>
            <w:r>
              <w:rPr>
                <w:sz w:val="18"/>
              </w:rPr>
              <w:t>Revoir les droits du compte de base et ajouter les en-têtes de sécurité</w:t>
            </w:r>
          </w:p>
        </w:tc>
        <w:tc>
          <w:tcPr>
            <w:tcW w:type="dxa" w:w="3249"/>
          </w:tcPr>
          <w:p>
            <w:r/>
            <w:r>
              <w:rPr>
                <w:sz w:val="18"/>
              </w:rPr>
              <w:t>1 demi-journée</w:t>
            </w:r>
          </w:p>
        </w:tc>
      </w:tr>
      <w:tr>
        <w:tc>
          <w:tcPr>
            <w:tcW w:type="dxa" w:w="3249"/>
          </w:tcPr>
          <w:p>
            <w:r/>
            <w:r>
              <w:rPr>
                <w:b/>
                <w:sz w:val="18"/>
              </w:rPr>
              <w:t>Trimestre</w:t>
            </w:r>
          </w:p>
        </w:tc>
        <w:tc>
          <w:tcPr>
            <w:tcW w:type="dxa" w:w="3249"/>
          </w:tcPr>
          <w:p>
            <w:r/>
            <w:r>
              <w:rPr>
                <w:sz w:val="18"/>
              </w:rPr>
              <w:t>Prévoir des tests d'autorisation automatisés dans la chaîne d'intégration continue</w:t>
            </w:r>
          </w:p>
        </w:tc>
        <w:tc>
          <w:tcPr>
            <w:tcW w:type="dxa" w:w="3249"/>
          </w:tcPr>
          <w:p>
            <w:r/>
            <w:r>
              <w:rPr>
                <w:sz w:val="18"/>
              </w:rPr>
              <w:t>3 à 5 jours, une fois</w:t>
            </w:r>
          </w:p>
        </w:tc>
      </w:tr>
    </w:tbl>
    <w:p/>
    <w:p>
      <w:pPr>
        <w:pStyle w:val="Heading2"/>
      </w:pPr>
      <w:r>
        <w:t>1.5 Ce que la mission n'a pas couvert</w:t>
      </w:r>
    </w:p>
    <w:p>
      <w:r>
        <w:rPr>
          <w:b w:val="0"/>
          <w:i w:val="0"/>
          <w:sz w:val="20"/>
        </w:rPr>
        <w:t>Cette section est indispensable à la lecture du rapport. L'absence de faille sur un point non testé ne signifie pas que ce point est sain.</w:t>
      </w:r>
    </w:p>
    <w:p>
      <w:pPr>
        <w:pStyle w:val="ListBullet"/>
      </w:pPr>
      <w:r>
        <w:t>les applications mobiles iOS et Android, hors périmètre contractuel ;</w:t>
      </w:r>
    </w:p>
    <w:p>
      <w:pPr>
        <w:pStyle w:val="ListBullet"/>
      </w:pPr>
      <w:r>
        <w:t>l'infrastructure réseau interne et l'annuaire, non inclus ;</w:t>
      </w:r>
    </w:p>
    <w:p>
      <w:pPr>
        <w:pStyle w:val="ListBullet"/>
      </w:pPr>
      <w:r>
        <w:t>les composants tiers hébergés par des prestataires (paiement, messagerie), dont le test nécessite leur autorisation ;</w:t>
      </w:r>
    </w:p>
    <w:p>
      <w:pPr>
        <w:pStyle w:val="ListBullet"/>
      </w:pPr>
      <w:r>
        <w:t>les tests de charge et de déni de service, exclus pour ne pas perturber la production.</w:t>
      </w:r>
    </w:p>
    <w:p>
      <w:r>
        <w:br w:type="page"/>
      </w:r>
    </w:p>
    <w:p>
      <w:pPr>
        <w:pStyle w:val="Heading1"/>
      </w:pPr>
      <w:r>
        <w:t>2. Périmètre et déroulement</w:t>
      </w:r>
    </w:p>
    <w:p>
      <w:pPr>
        <w:pStyle w:val="Heading2"/>
      </w:pPr>
      <w:r>
        <w:t>2.1 Périmètre autorisé</w:t>
      </w:r>
    </w:p>
    <w:p>
      <w:r>
        <w:rPr>
          <w:b w:val="0"/>
          <w:i w:val="0"/>
          <w:sz w:val="20"/>
        </w:rPr>
        <w:t>Le test a été conduit exclusivement sur les cibles listées dans l'autorisation écrite signée le 28 février 2026. Toute cible non listée ci-dessous est hors périmètre.</w:t>
      </w:r>
    </w:p>
    <w:p>
      <w:pPr>
        <w:pStyle w:val="ListBullet"/>
      </w:pPr>
      <w:r>
        <w:t>portail client — https://portail.exemple-client.ci ;</w:t>
      </w:r>
    </w:p>
    <w:p>
      <w:pPr>
        <w:pStyle w:val="ListBullet"/>
      </w:pPr>
      <w:r>
        <w:t>tunnel de commande — parcours complet, du panier au paiement ;</w:t>
      </w:r>
    </w:p>
    <w:p>
      <w:pPr>
        <w:pStyle w:val="ListBullet"/>
      </w:pPr>
      <w:r>
        <w:t>API publique — https://api.exemple-client.ci, versions v1 et v2 ;</w:t>
      </w:r>
    </w:p>
    <w:p>
      <w:pPr>
        <w:pStyle w:val="ListBullet"/>
      </w:pPr>
      <w:r>
        <w:t>comptes de test fournis : trois comptes clients de niveaux différents, un compte administrateur de démonstration.</w:t>
      </w:r>
    </w:p>
    <w:p>
      <w:pPr>
        <w:pStyle w:val="Heading2"/>
      </w:pPr>
      <w:r>
        <w:t>2.2 Fenêtres d'intervention et précautions</w:t>
      </w:r>
    </w:p>
    <w:p>
      <w:r>
        <w:rPr>
          <w:b w:val="0"/>
          <w:i w:val="0"/>
          <w:sz w:val="20"/>
        </w:rPr>
        <w:t>Les tests ont été menés entre 22 h et 6 h GMT, afin de limiter l'impact sur la production. Aucune donnée métier n'a été copiée : les preuves se limitent aux extraits nécessaires à la démonstration, et les données personnelles y sont tronquées.</w:t>
      </w:r>
    </w:p>
    <w:p>
      <w:pPr>
        <w:pStyle w:val="Heading2"/>
      </w:pPr>
      <w:r>
        <w:t>2.3 Phases</w:t>
      </w:r>
    </w:p>
    <w:p>
      <w:r>
        <w:rPr>
          <w:b/>
          <w:sz w:val="20"/>
        </w:rPr>
        <w:t xml:space="preserve">Cadrage (2 jours) — </w:t>
      </w:r>
      <w:r>
        <w:rPr>
          <w:sz w:val="20"/>
        </w:rPr>
        <w:t>Définition du périmètre, des comptes de test et des exclusions. Signature de l'autorisation.</w:t>
      </w:r>
    </w:p>
    <w:p>
      <w:r>
        <w:rPr>
          <w:b/>
          <w:sz w:val="20"/>
        </w:rPr>
        <w:t xml:space="preserve">Reconnaissance (2 jours) — </w:t>
      </w:r>
      <w:r>
        <w:rPr>
          <w:sz w:val="20"/>
        </w:rPr>
        <w:t>Cartographie des sous-domaines, des services exposés et des technologies.</w:t>
      </w:r>
    </w:p>
    <w:p>
      <w:r>
        <w:rPr>
          <w:b/>
          <w:sz w:val="20"/>
        </w:rPr>
        <w:t xml:space="preserve">Analyse (5 jours) — </w:t>
      </w:r>
      <w:r>
        <w:rPr>
          <w:sz w:val="20"/>
        </w:rPr>
        <w:t>Recherche de vulnérabilités, revue de configuration, analyse du contrôle d'accès.</w:t>
      </w:r>
    </w:p>
    <w:p>
      <w:r>
        <w:rPr>
          <w:b/>
          <w:sz w:val="20"/>
        </w:rPr>
        <w:t xml:space="preserve">Exploitation (3 jours) — </w:t>
      </w:r>
      <w:r>
        <w:rPr>
          <w:sz w:val="20"/>
        </w:rPr>
        <w:t>Consolidation en scénarios d'attaque et mesure de l'impact réel.</w:t>
      </w:r>
    </w:p>
    <w:p>
      <w:r>
        <w:rPr>
          <w:b/>
          <w:sz w:val="20"/>
        </w:rPr>
        <w:t xml:space="preserve">Restitution (2 jours) — </w:t>
      </w:r>
      <w:r>
        <w:rPr>
          <w:sz w:val="20"/>
        </w:rPr>
        <w:t>Rapport à deux niveaux et séance de restitution orale.</w:t>
      </w:r>
    </w:p>
    <w:p>
      <w:r>
        <w:br w:type="page"/>
      </w:r>
    </w:p>
    <w:p>
      <w:pPr>
        <w:pStyle w:val="Heading1"/>
      </w:pPr>
      <w:r>
        <w:t>3. Synthèse des constats</w:t>
      </w:r>
    </w:p>
    <w:p>
      <w:r>
        <w:rPr>
          <w:b w:val="0"/>
          <w:i w:val="0"/>
          <w:sz w:val="20"/>
        </w:rPr>
        <w:t>Huit constats ont été identifiés. Ils sont détaillés au chapitre 4 et suivis dans le portail client, où chaque correction peut donner lieu à une demande de contre-visite.</w:t>
      </w:r>
    </w:p>
    <w:tbl>
      <w:tblPr>
        <w:tblStyle w:val="TableGrid"/>
        <w:tblW w:type="auto" w:w="0"/>
        <w:jc w:val="center"/>
        <w:tblLook w:firstColumn="1" w:firstRow="1" w:lastColumn="0" w:lastRow="0" w:noHBand="0" w:noVBand="1" w:val="04A0"/>
      </w:tblPr>
      <w:tblGrid>
        <w:gridCol w:w="1624"/>
        <w:gridCol w:w="1624"/>
        <w:gridCol w:w="1624"/>
        <w:gridCol w:w="1624"/>
        <w:gridCol w:w="1624"/>
        <w:gridCol w:w="1624"/>
      </w:tblGrid>
      <w:tr>
        <w:tc>
          <w:tcPr>
            <w:tcW w:type="dxa" w:w="1624"/>
            <w:shd w:val="clear" w:fill="E8EDEB"/>
          </w:tcPr>
          <w:p>
            <w:r/>
            <w:r>
              <w:rPr>
                <w:b/>
                <w:sz w:val="17"/>
              </w:rPr>
              <w:t>Réf.</w:t>
            </w:r>
          </w:p>
        </w:tc>
        <w:tc>
          <w:tcPr>
            <w:tcW w:type="dxa" w:w="1624"/>
            <w:shd w:val="clear" w:fill="E8EDEB"/>
          </w:tcPr>
          <w:p>
            <w:r/>
            <w:r>
              <w:rPr>
                <w:b/>
                <w:sz w:val="17"/>
              </w:rPr>
              <w:t>Constat</w:t>
            </w:r>
          </w:p>
        </w:tc>
        <w:tc>
          <w:tcPr>
            <w:tcW w:type="dxa" w:w="1624"/>
            <w:shd w:val="clear" w:fill="E8EDEB"/>
          </w:tcPr>
          <w:p>
            <w:r/>
            <w:r>
              <w:rPr>
                <w:b/>
                <w:sz w:val="17"/>
              </w:rPr>
              <w:t>Sévérité</w:t>
            </w:r>
          </w:p>
        </w:tc>
        <w:tc>
          <w:tcPr>
            <w:tcW w:type="dxa" w:w="1624"/>
            <w:shd w:val="clear" w:fill="E8EDEB"/>
          </w:tcPr>
          <w:p>
            <w:r/>
            <w:r>
              <w:rPr>
                <w:b/>
                <w:sz w:val="17"/>
              </w:rPr>
              <w:t>CVSS</w:t>
            </w:r>
          </w:p>
        </w:tc>
        <w:tc>
          <w:tcPr>
            <w:tcW w:type="dxa" w:w="1624"/>
            <w:shd w:val="clear" w:fill="E8EDEB"/>
          </w:tcPr>
          <w:p>
            <w:r/>
            <w:r>
              <w:rPr>
                <w:b/>
                <w:sz w:val="17"/>
              </w:rPr>
              <w:t>Impact</w:t>
            </w:r>
          </w:p>
        </w:tc>
        <w:tc>
          <w:tcPr>
            <w:tcW w:type="dxa" w:w="1624"/>
            <w:shd w:val="clear" w:fill="E8EDEB"/>
          </w:tcPr>
          <w:p>
            <w:r/>
            <w:r>
              <w:rPr>
                <w:b/>
                <w:sz w:val="17"/>
              </w:rPr>
              <w:t>Statut</w:t>
            </w:r>
          </w:p>
        </w:tc>
      </w:tr>
      <w:tr>
        <w:tc>
          <w:tcPr>
            <w:tcW w:type="dxa" w:w="1624"/>
          </w:tcPr>
          <w:p>
            <w:r/>
            <w:r>
              <w:rPr>
                <w:sz w:val="17"/>
              </w:rPr>
              <w:t>C-01</w:t>
            </w:r>
          </w:p>
        </w:tc>
        <w:tc>
          <w:tcPr>
            <w:tcW w:type="dxa" w:w="1624"/>
          </w:tcPr>
          <w:p>
            <w:r/>
            <w:r>
              <w:rPr>
                <w:sz w:val="17"/>
              </w:rPr>
              <w:t>Injection SQL dans la recherche du catalogue</w:t>
            </w:r>
          </w:p>
        </w:tc>
        <w:tc>
          <w:tcPr>
            <w:tcW w:type="dxa" w:w="1624"/>
          </w:tcPr>
          <w:p>
            <w:r/>
            <w:r>
              <w:rPr>
                <w:sz w:val="17"/>
              </w:rPr>
              <w:t>Critique</w:t>
            </w:r>
          </w:p>
        </w:tc>
        <w:tc>
          <w:tcPr>
            <w:tcW w:type="dxa" w:w="1624"/>
          </w:tcPr>
          <w:p>
            <w:r/>
            <w:r>
              <w:rPr>
                <w:sz w:val="17"/>
              </w:rPr>
              <w:t>9.1</w:t>
            </w:r>
          </w:p>
        </w:tc>
        <w:tc>
          <w:tcPr>
            <w:tcW w:type="dxa" w:w="1624"/>
          </w:tcPr>
          <w:p>
            <w:r/>
            <w:r>
              <w:rPr>
                <w:sz w:val="17"/>
              </w:rPr>
              <w:t>Extraction de la base</w:t>
            </w:r>
          </w:p>
        </w:tc>
        <w:tc>
          <w:tcPr>
            <w:tcW w:type="dxa" w:w="1624"/>
          </w:tcPr>
          <w:p>
            <w:r/>
            <w:r>
              <w:rPr>
                <w:sz w:val="17"/>
              </w:rPr>
              <w:t>Corrigée</w:t>
            </w:r>
          </w:p>
        </w:tc>
      </w:tr>
      <w:tr>
        <w:tc>
          <w:tcPr>
            <w:tcW w:type="dxa" w:w="1624"/>
          </w:tcPr>
          <w:p>
            <w:r/>
            <w:r>
              <w:rPr>
                <w:sz w:val="17"/>
              </w:rPr>
              <w:t>C-02</w:t>
            </w:r>
          </w:p>
        </w:tc>
        <w:tc>
          <w:tcPr>
            <w:tcW w:type="dxa" w:w="1624"/>
          </w:tcPr>
          <w:p>
            <w:r/>
            <w:r>
              <w:rPr>
                <w:sz w:val="17"/>
              </w:rPr>
              <w:t>Contrôle d'accès horizontal sur les factures</w:t>
            </w:r>
          </w:p>
        </w:tc>
        <w:tc>
          <w:tcPr>
            <w:tcW w:type="dxa" w:w="1624"/>
          </w:tcPr>
          <w:p>
            <w:r/>
            <w:r>
              <w:rPr>
                <w:sz w:val="17"/>
              </w:rPr>
              <w:t>Critique</w:t>
            </w:r>
          </w:p>
        </w:tc>
        <w:tc>
          <w:tcPr>
            <w:tcW w:type="dxa" w:w="1624"/>
          </w:tcPr>
          <w:p>
            <w:r/>
            <w:r>
              <w:rPr>
                <w:sz w:val="17"/>
              </w:rPr>
              <w:t>8.6</w:t>
            </w:r>
          </w:p>
        </w:tc>
        <w:tc>
          <w:tcPr>
            <w:tcW w:type="dxa" w:w="1624"/>
          </w:tcPr>
          <w:p>
            <w:r/>
            <w:r>
              <w:rPr>
                <w:sz w:val="17"/>
              </w:rPr>
              <w:t>Fuite de données clients</w:t>
            </w:r>
          </w:p>
        </w:tc>
        <w:tc>
          <w:tcPr>
            <w:tcW w:type="dxa" w:w="1624"/>
          </w:tcPr>
          <w:p>
            <w:r/>
            <w:r>
              <w:rPr>
                <w:sz w:val="17"/>
              </w:rPr>
              <w:t>Corrigée</w:t>
            </w:r>
          </w:p>
        </w:tc>
      </w:tr>
      <w:tr>
        <w:tc>
          <w:tcPr>
            <w:tcW w:type="dxa" w:w="1624"/>
          </w:tcPr>
          <w:p>
            <w:r/>
            <w:r>
              <w:rPr>
                <w:sz w:val="17"/>
              </w:rPr>
              <w:t>C-03</w:t>
            </w:r>
          </w:p>
        </w:tc>
        <w:tc>
          <w:tcPr>
            <w:tcW w:type="dxa" w:w="1624"/>
          </w:tcPr>
          <w:p>
            <w:r/>
            <w:r>
              <w:rPr>
                <w:sz w:val="17"/>
              </w:rPr>
              <w:t>Absence de limitation de débit à l'authentification</w:t>
            </w:r>
          </w:p>
        </w:tc>
        <w:tc>
          <w:tcPr>
            <w:tcW w:type="dxa" w:w="1624"/>
          </w:tcPr>
          <w:p>
            <w:r/>
            <w:r>
              <w:rPr>
                <w:sz w:val="17"/>
              </w:rPr>
              <w:t>Élevé</w:t>
            </w:r>
          </w:p>
        </w:tc>
        <w:tc>
          <w:tcPr>
            <w:tcW w:type="dxa" w:w="1624"/>
          </w:tcPr>
          <w:p>
            <w:r/>
            <w:r>
              <w:rPr>
                <w:sz w:val="17"/>
              </w:rPr>
              <w:t>7.5</w:t>
            </w:r>
          </w:p>
        </w:tc>
        <w:tc>
          <w:tcPr>
            <w:tcW w:type="dxa" w:w="1624"/>
          </w:tcPr>
          <w:p>
            <w:r/>
            <w:r>
              <w:rPr>
                <w:sz w:val="17"/>
              </w:rPr>
              <w:t>Force brute</w:t>
            </w:r>
          </w:p>
        </w:tc>
        <w:tc>
          <w:tcPr>
            <w:tcW w:type="dxa" w:w="1624"/>
          </w:tcPr>
          <w:p>
            <w:r/>
            <w:r>
              <w:rPr>
                <w:sz w:val="17"/>
              </w:rPr>
              <w:t>En correction</w:t>
            </w:r>
          </w:p>
        </w:tc>
      </w:tr>
      <w:tr>
        <w:tc>
          <w:tcPr>
            <w:tcW w:type="dxa" w:w="1624"/>
          </w:tcPr>
          <w:p>
            <w:r/>
            <w:r>
              <w:rPr>
                <w:sz w:val="17"/>
              </w:rPr>
              <w:t>C-04</w:t>
            </w:r>
          </w:p>
        </w:tc>
        <w:tc>
          <w:tcPr>
            <w:tcW w:type="dxa" w:w="1624"/>
          </w:tcPr>
          <w:p>
            <w:r/>
            <w:r>
              <w:rPr>
                <w:sz w:val="17"/>
              </w:rPr>
              <w:t>Autorisation objet absente sur l'API</w:t>
            </w:r>
          </w:p>
        </w:tc>
        <w:tc>
          <w:tcPr>
            <w:tcW w:type="dxa" w:w="1624"/>
          </w:tcPr>
          <w:p>
            <w:r/>
            <w:r>
              <w:rPr>
                <w:sz w:val="17"/>
              </w:rPr>
              <w:t>Élevé</w:t>
            </w:r>
          </w:p>
        </w:tc>
        <w:tc>
          <w:tcPr>
            <w:tcW w:type="dxa" w:w="1624"/>
          </w:tcPr>
          <w:p>
            <w:r/>
            <w:r>
              <w:rPr>
                <w:sz w:val="17"/>
              </w:rPr>
              <w:t>8.1</w:t>
            </w:r>
          </w:p>
        </w:tc>
        <w:tc>
          <w:tcPr>
            <w:tcW w:type="dxa" w:w="1624"/>
          </w:tcPr>
          <w:p>
            <w:r/>
            <w:r>
              <w:rPr>
                <w:sz w:val="17"/>
              </w:rPr>
              <w:t>Cloisonnement rompu</w:t>
            </w:r>
          </w:p>
        </w:tc>
        <w:tc>
          <w:tcPr>
            <w:tcW w:type="dxa" w:w="1624"/>
          </w:tcPr>
          <w:p>
            <w:r/>
            <w:r>
              <w:rPr>
                <w:sz w:val="17"/>
              </w:rPr>
              <w:t>Ouverte</w:t>
            </w:r>
          </w:p>
        </w:tc>
      </w:tr>
      <w:tr>
        <w:tc>
          <w:tcPr>
            <w:tcW w:type="dxa" w:w="1624"/>
          </w:tcPr>
          <w:p>
            <w:r/>
            <w:r>
              <w:rPr>
                <w:sz w:val="17"/>
              </w:rPr>
              <w:t>C-05</w:t>
            </w:r>
          </w:p>
        </w:tc>
        <w:tc>
          <w:tcPr>
            <w:tcW w:type="dxa" w:w="1624"/>
          </w:tcPr>
          <w:p>
            <w:r/>
            <w:r>
              <w:rPr>
                <w:sz w:val="17"/>
              </w:rPr>
              <w:t>Jeton de session non invalidé à la déconnexion</w:t>
            </w:r>
          </w:p>
        </w:tc>
        <w:tc>
          <w:tcPr>
            <w:tcW w:type="dxa" w:w="1624"/>
          </w:tcPr>
          <w:p>
            <w:r/>
            <w:r>
              <w:rPr>
                <w:sz w:val="17"/>
              </w:rPr>
              <w:t>Élevé</w:t>
            </w:r>
          </w:p>
        </w:tc>
        <w:tc>
          <w:tcPr>
            <w:tcW w:type="dxa" w:w="1624"/>
          </w:tcPr>
          <w:p>
            <w:r/>
            <w:r>
              <w:rPr>
                <w:sz w:val="17"/>
              </w:rPr>
              <w:t>7.1</w:t>
            </w:r>
          </w:p>
        </w:tc>
        <w:tc>
          <w:tcPr>
            <w:tcW w:type="dxa" w:w="1624"/>
          </w:tcPr>
          <w:p>
            <w:r/>
            <w:r>
              <w:rPr>
                <w:sz w:val="17"/>
              </w:rPr>
              <w:t>Réutilisation de session</w:t>
            </w:r>
          </w:p>
        </w:tc>
        <w:tc>
          <w:tcPr>
            <w:tcW w:type="dxa" w:w="1624"/>
          </w:tcPr>
          <w:p>
            <w:r/>
            <w:r>
              <w:rPr>
                <w:sz w:val="17"/>
              </w:rPr>
              <w:t>En correction</w:t>
            </w:r>
          </w:p>
        </w:tc>
      </w:tr>
      <w:tr>
        <w:tc>
          <w:tcPr>
            <w:tcW w:type="dxa" w:w="1624"/>
          </w:tcPr>
          <w:p>
            <w:r/>
            <w:r>
              <w:rPr>
                <w:sz w:val="17"/>
              </w:rPr>
              <w:t>C-06</w:t>
            </w:r>
          </w:p>
        </w:tc>
        <w:tc>
          <w:tcPr>
            <w:tcW w:type="dxa" w:w="1624"/>
          </w:tcPr>
          <w:p>
            <w:r/>
            <w:r>
              <w:rPr>
                <w:sz w:val="17"/>
              </w:rPr>
              <w:t>Composant frontal obsolète</w:t>
            </w:r>
          </w:p>
        </w:tc>
        <w:tc>
          <w:tcPr>
            <w:tcW w:type="dxa" w:w="1624"/>
          </w:tcPr>
          <w:p>
            <w:r/>
            <w:r>
              <w:rPr>
                <w:sz w:val="17"/>
              </w:rPr>
              <w:t>Moyen</w:t>
            </w:r>
          </w:p>
        </w:tc>
        <w:tc>
          <w:tcPr>
            <w:tcW w:type="dxa" w:w="1624"/>
          </w:tcPr>
          <w:p>
            <w:r/>
            <w:r>
              <w:rPr>
                <w:sz w:val="17"/>
              </w:rPr>
              <w:t>5.9</w:t>
            </w:r>
          </w:p>
        </w:tc>
        <w:tc>
          <w:tcPr>
            <w:tcW w:type="dxa" w:w="1624"/>
          </w:tcPr>
          <w:p>
            <w:r/>
            <w:r>
              <w:rPr>
                <w:sz w:val="17"/>
              </w:rPr>
              <w:t>Exploitation connue</w:t>
            </w:r>
          </w:p>
        </w:tc>
        <w:tc>
          <w:tcPr>
            <w:tcW w:type="dxa" w:w="1624"/>
          </w:tcPr>
          <w:p>
            <w:r/>
            <w:r>
              <w:rPr>
                <w:sz w:val="17"/>
              </w:rPr>
              <w:t>Ouverte</w:t>
            </w:r>
          </w:p>
        </w:tc>
      </w:tr>
      <w:tr>
        <w:tc>
          <w:tcPr>
            <w:tcW w:type="dxa" w:w="1624"/>
          </w:tcPr>
          <w:p>
            <w:r/>
            <w:r>
              <w:rPr>
                <w:sz w:val="17"/>
              </w:rPr>
              <w:t>C-07</w:t>
            </w:r>
          </w:p>
        </w:tc>
        <w:tc>
          <w:tcPr>
            <w:tcW w:type="dxa" w:w="1624"/>
          </w:tcPr>
          <w:p>
            <w:r/>
            <w:r>
              <w:rPr>
                <w:sz w:val="17"/>
              </w:rPr>
              <w:t>Messages d'erreur révélant la pile technique</w:t>
            </w:r>
          </w:p>
        </w:tc>
        <w:tc>
          <w:tcPr>
            <w:tcW w:type="dxa" w:w="1624"/>
          </w:tcPr>
          <w:p>
            <w:r/>
            <w:r>
              <w:rPr>
                <w:sz w:val="17"/>
              </w:rPr>
              <w:t>Moyen</w:t>
            </w:r>
          </w:p>
        </w:tc>
        <w:tc>
          <w:tcPr>
            <w:tcW w:type="dxa" w:w="1624"/>
          </w:tcPr>
          <w:p>
            <w:r/>
            <w:r>
              <w:rPr>
                <w:sz w:val="17"/>
              </w:rPr>
              <w:t>5.3</w:t>
            </w:r>
          </w:p>
        </w:tc>
        <w:tc>
          <w:tcPr>
            <w:tcW w:type="dxa" w:w="1624"/>
          </w:tcPr>
          <w:p>
            <w:r/>
            <w:r>
              <w:rPr>
                <w:sz w:val="17"/>
              </w:rPr>
              <w:t>Reconnaissance</w:t>
            </w:r>
          </w:p>
        </w:tc>
        <w:tc>
          <w:tcPr>
            <w:tcW w:type="dxa" w:w="1624"/>
          </w:tcPr>
          <w:p>
            <w:r/>
            <w:r>
              <w:rPr>
                <w:sz w:val="17"/>
              </w:rPr>
              <w:t>Ouverte</w:t>
            </w:r>
          </w:p>
        </w:tc>
      </w:tr>
      <w:tr>
        <w:tc>
          <w:tcPr>
            <w:tcW w:type="dxa" w:w="1624"/>
          </w:tcPr>
          <w:p>
            <w:r/>
            <w:r>
              <w:rPr>
                <w:sz w:val="17"/>
              </w:rPr>
              <w:t>C-08</w:t>
            </w:r>
          </w:p>
        </w:tc>
        <w:tc>
          <w:tcPr>
            <w:tcW w:type="dxa" w:w="1624"/>
          </w:tcPr>
          <w:p>
            <w:r/>
            <w:r>
              <w:rPr>
                <w:sz w:val="17"/>
              </w:rPr>
              <w:t>Divulgation par en-têtes de version</w:t>
            </w:r>
          </w:p>
        </w:tc>
        <w:tc>
          <w:tcPr>
            <w:tcW w:type="dxa" w:w="1624"/>
          </w:tcPr>
          <w:p>
            <w:r/>
            <w:r>
              <w:rPr>
                <w:sz w:val="17"/>
              </w:rPr>
              <w:t>Faible</w:t>
            </w:r>
          </w:p>
        </w:tc>
        <w:tc>
          <w:tcPr>
            <w:tcW w:type="dxa" w:w="1624"/>
          </w:tcPr>
          <w:p>
            <w:r/>
            <w:r>
              <w:rPr>
                <w:sz w:val="17"/>
              </w:rPr>
              <w:t>3.1</w:t>
            </w:r>
          </w:p>
        </w:tc>
        <w:tc>
          <w:tcPr>
            <w:tcW w:type="dxa" w:w="1624"/>
          </w:tcPr>
          <w:p>
            <w:r/>
            <w:r>
              <w:rPr>
                <w:sz w:val="17"/>
              </w:rPr>
              <w:t>Reconnaissance</w:t>
            </w:r>
          </w:p>
        </w:tc>
        <w:tc>
          <w:tcPr>
            <w:tcW w:type="dxa" w:w="1624"/>
          </w:tcPr>
          <w:p>
            <w:r/>
            <w:r>
              <w:rPr>
                <w:sz w:val="17"/>
              </w:rPr>
              <w:t>Acceptée</w:t>
            </w:r>
          </w:p>
        </w:tc>
      </w:tr>
    </w:tbl>
    <w:p/>
    <w:p>
      <w:r>
        <w:rPr>
          <w:b w:val="0"/>
          <w:i/>
          <w:color w:val="505A55"/>
          <w:sz w:val="18"/>
        </w:rPr>
        <w:t>Les références « C-0x » sont celles utilisées dans le portail de suivi, afin que vos équipes retrouvent immédiatement le constat correspondant.</w:t>
      </w:r>
    </w:p>
    <w:p>
      <w:r>
        <w:br w:type="page"/>
      </w:r>
    </w:p>
    <w:p>
      <w:pPr>
        <w:pStyle w:val="Heading1"/>
      </w:pPr>
      <w:r>
        <w:t>4. Constats détaillés</w:t>
      </w:r>
    </w:p>
    <w:p>
      <w:r>
        <w:rPr>
          <w:b w:val="0"/>
          <w:i w:val="0"/>
          <w:sz w:val="20"/>
        </w:rPr>
        <w:t>Cette partie s'adresse aux équipes techniques. Chaque constat comporte une description, les étapes de reproduction, l'impact démontré et le correctif attendu. Les extraits sont issus de l'environnement de test et ont été anonymisés.</w:t>
      </w:r>
    </w:p>
    <w:p>
      <w:pPr>
        <w:pStyle w:val="Heading2"/>
      </w:pPr>
      <w:r>
        <w:t>C-01 — Injection SQL dans le paramètre de recherche du catalogue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color w:val="505A55"/>
                <w:sz w:val="15"/>
              </w:rPr>
              <w:t>Sévérité</w:t>
              <w:br/>
            </w:r>
            <w:r>
              <w:rPr>
                <w:b/>
                <w:sz w:val="18"/>
              </w:rPr>
              <w:t>Critique</w:t>
            </w:r>
          </w:p>
        </w:tc>
        <w:tc>
          <w:tcPr>
            <w:tcW w:type="dxa" w:w="2436"/>
          </w:tcPr>
          <w:p>
            <w:r/>
            <w:r>
              <w:rPr>
                <w:color w:val="505A55"/>
                <w:sz w:val="15"/>
              </w:rPr>
              <w:t>Score CVSS</w:t>
              <w:br/>
            </w:r>
            <w:r>
              <w:rPr>
                <w:b/>
                <w:sz w:val="18"/>
              </w:rPr>
              <w:t>9.1</w:t>
            </w:r>
          </w:p>
        </w:tc>
        <w:tc>
          <w:tcPr>
            <w:tcW w:type="dxa" w:w="2436"/>
          </w:tcPr>
          <w:p>
            <w:r/>
            <w:r>
              <w:rPr>
                <w:color w:val="505A55"/>
                <w:sz w:val="15"/>
              </w:rPr>
              <w:t>Classification</w:t>
              <w:br/>
            </w:r>
            <w:r>
              <w:rPr>
                <w:b/>
                <w:sz w:val="18"/>
              </w:rPr>
              <w:t>CWE-89 · A03:2021 — Injection</w:t>
            </w:r>
          </w:p>
        </w:tc>
        <w:tc>
          <w:tcPr>
            <w:tcW w:type="dxa" w:w="2436"/>
          </w:tcPr>
          <w:p>
            <w:r/>
            <w:r>
              <w:rPr>
                <w:color w:val="505A55"/>
                <w:sz w:val="15"/>
              </w:rPr>
              <w:t>Statut</w:t>
              <w:br/>
            </w:r>
            <w:r>
              <w:rPr>
                <w:b/>
                <w:sz w:val="18"/>
              </w:rPr>
              <w:t>Corrigée</w:t>
            </w:r>
          </w:p>
        </w:tc>
      </w:tr>
    </w:tbl>
    <w:p/>
    <w:p>
      <w:r>
        <w:rPr>
          <w:b w:val="0"/>
          <w:i/>
          <w:color w:val="505A55"/>
          <w:sz w:val="18"/>
        </w:rPr>
        <w:t>OWASP Top 10</w:t>
      </w:r>
    </w:p>
    <w:p>
      <w:pPr>
        <w:pStyle w:val="Heading3"/>
      </w:pPr>
      <w:r>
        <w:t>Description</w:t>
      </w:r>
    </w:p>
    <w:p>
      <w:r>
        <w:rPr>
          <w:b w:val="0"/>
          <w:i w:val="0"/>
          <w:sz w:val="20"/>
        </w:rPr>
        <w:t>Le paramètre « recherche » de l'endpoint public /catalogue est concaténé directement dans la requête SQL, sans requête paramétrée ni validation. Un guillemet non échappé permet de modifier la clause WHERE et de faire porter la requête sur une autre table.</w:t>
      </w:r>
    </w:p>
    <w:p>
      <w:pPr>
        <w:pStyle w:val="Heading3"/>
      </w:pPr>
      <w:r>
        <w:t>Reproduction</w:t>
      </w:r>
    </w:p>
    <w:tbl>
      <w:tblPr>
        <w:tblStyle w:val="TableGrid"/>
        <w:tblW w:type="auto" w:w="0"/>
        <w:tblLook w:firstColumn="1" w:firstRow="1" w:lastColumn="0" w:lastRow="0" w:noHBand="0" w:noVBand="1" w:val="04A0"/>
      </w:tblPr>
      <w:tblGrid>
        <w:gridCol w:w="9746"/>
      </w:tblGrid>
      <w:tr>
        <w:tc>
          <w:tcPr>
            <w:tcW w:type="dxa" w:w="9746"/>
            <w:shd w:val="clear" w:fill="F4F6F5"/>
          </w:tcPr>
          <w:p>
            <w:pPr>
              <w:spacing w:after="0" w:before="0"/>
            </w:pPr>
            <w:r/>
            <w:r>
              <w:rPr>
                <w:rFonts w:ascii="Consolas" w:hAnsi="Consolas"/>
                <w:sz w:val="17"/>
              </w:rPr>
              <w:t>GET /catalogue?recherche=x%27%20UNION%20SELECT%20null,email,hash_mdp%20FROM%20utilisateurs--%20</w:t>
            </w:r>
          </w:p>
          <w:p>
            <w:pPr>
              <w:spacing w:after="0" w:before="0"/>
            </w:pPr>
            <w:r>
              <w:rPr>
                <w:rFonts w:ascii="Consolas" w:hAnsi="Consolas"/>
                <w:sz w:val="17"/>
              </w:rPr>
              <w:t>Host: portail.exemple-client.ci</w:t>
            </w:r>
          </w:p>
          <w:p>
            <w:pPr>
              <w:spacing w:after="0" w:before="0"/>
            </w:pPr>
            <w:r>
              <w:rPr>
                <w:rFonts w:ascii="Consolas" w:hAnsi="Consolas"/>
                <w:sz w:val="17"/>
              </w:rPr>
            </w:r>
          </w:p>
          <w:p>
            <w:pPr>
              <w:spacing w:after="0" w:before="0"/>
            </w:pPr>
            <w:r>
              <w:rPr>
                <w:rFonts w:ascii="Consolas" w:hAnsi="Consolas"/>
                <w:sz w:val="17"/>
              </w:rPr>
              <w:t>HTTP/1.1 200 OK</w:t>
            </w:r>
          </w:p>
          <w:p>
            <w:pPr>
              <w:spacing w:after="0" w:before="0"/>
            </w:pPr>
            <w:r>
              <w:rPr>
                <w:rFonts w:ascii="Consolas" w:hAnsi="Consolas"/>
                <w:sz w:val="17"/>
              </w:rPr>
              <w:t>Content-Type: application/json</w:t>
            </w:r>
          </w:p>
          <w:p>
            <w:pPr>
              <w:spacing w:after="0" w:before="0"/>
            </w:pPr>
            <w:r>
              <w:rPr>
                <w:rFonts w:ascii="Consolas" w:hAnsi="Consolas"/>
                <w:sz w:val="17"/>
              </w:rPr>
            </w:r>
          </w:p>
          <w:p>
            <w:pPr>
              <w:spacing w:after="0" w:before="0"/>
            </w:pPr>
            <w:r>
              <w:rPr>
                <w:rFonts w:ascii="Consolas" w:hAnsi="Consolas"/>
                <w:sz w:val="17"/>
              </w:rPr>
              <w:t>{ "resultats": [ ... ], "total": 412 }</w:t>
            </w:r>
          </w:p>
          <w:p>
            <w:pPr>
              <w:spacing w:after="0" w:before="0"/>
            </w:pPr>
            <w:r>
              <w:rPr>
                <w:rFonts w:ascii="Consolas" w:hAnsi="Consolas"/>
                <w:sz w:val="17"/>
              </w:rPr>
            </w:r>
          </w:p>
          <w:p>
            <w:pPr>
              <w:spacing w:after="0" w:before="0"/>
            </w:pPr>
            <w:r>
              <w:rPr>
                <w:rFonts w:ascii="Consolas" w:hAnsi="Consolas"/>
                <w:sz w:val="17"/>
              </w:rPr>
              <w:t>→ les 412 lignes renvoyées contiennent les adresses électroniques et</w:t>
            </w:r>
          </w:p>
          <w:p>
            <w:pPr>
              <w:spacing w:after="0" w:before="0"/>
            </w:pPr>
            <w:r>
              <w:rPr>
                <w:rFonts w:ascii="Consolas" w:hAnsi="Consolas"/>
                <w:sz w:val="17"/>
              </w:rPr>
              <w:t xml:space="preserve">  les empreintes de mots de passe des utilisateurs.</w:t>
            </w:r>
          </w:p>
        </w:tc>
      </w:tr>
    </w:tbl>
    <w:p/>
    <w:p>
      <w:pPr>
        <w:pStyle w:val="Heading3"/>
      </w:pPr>
      <w:r>
        <w:t>Impact démontré</w:t>
      </w:r>
    </w:p>
    <w:p>
      <w:r>
        <w:rPr>
          <w:b w:val="0"/>
          <w:i w:val="0"/>
          <w:sz w:val="20"/>
        </w:rPr>
        <w:t>Un visiteur non authentifié extrait l'intégralité de la base utilisateurs. Les empreintes, obtenues sans limitation de débit, peuvent être attaquées hors ligne. Aucune entrée n'apparaît dans les journaux applicatifs : la tentative est indétectable.</w:t>
      </w:r>
    </w:p>
    <w:p>
      <w:pPr>
        <w:pStyle w:val="Heading3"/>
      </w:pPr>
      <w:r>
        <w:t>Correctif attendu</w:t>
      </w:r>
    </w:p>
    <w:p>
      <w:r>
        <w:rPr>
          <w:b w:val="0"/>
          <w:i w:val="0"/>
          <w:sz w:val="20"/>
        </w:rPr>
        <w:t>Utiliser des requêtes paramétrées sur l'ensemble des points d'entrée du catalogue. Valider en liste blanche les colonnes de tri et de filtre. Restreindre les droits du compte de base de données aux seules tables nécessaires, en lecture seule lorsque c'est possible.</w:t>
      </w:r>
    </w:p>
    <w:p>
      <w:pPr>
        <w:pStyle w:val="Heading3"/>
      </w:pPr>
      <w:r>
        <w:t>Vérification</w:t>
      </w:r>
    </w:p>
    <w:p>
      <w:r>
        <w:rPr>
          <w:b w:val="0"/>
          <w:i/>
          <w:sz w:val="20"/>
        </w:rPr>
        <w:t>Requête rejouée après correction : la réponse est revenue à son comportement normal, sans fuite. Statut corrigé confirmé par contre-visite, vérification effectuée le 12 mars 2026.</w:t>
      </w:r>
    </w:p>
    <w:p>
      <w:pPr>
        <w:pStyle w:val="Heading2"/>
      </w:pPr>
      <w:r>
        <w:t>C-04 — Autorisation au niveau objet absente sur l'API</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color w:val="505A55"/>
                <w:sz w:val="15"/>
              </w:rPr>
              <w:t>Sévérité</w:t>
              <w:br/>
            </w:r>
            <w:r>
              <w:rPr>
                <w:b/>
                <w:sz w:val="18"/>
              </w:rPr>
              <w:t>Élevé</w:t>
            </w:r>
          </w:p>
        </w:tc>
        <w:tc>
          <w:tcPr>
            <w:tcW w:type="dxa" w:w="2436"/>
          </w:tcPr>
          <w:p>
            <w:r/>
            <w:r>
              <w:rPr>
                <w:color w:val="505A55"/>
                <w:sz w:val="15"/>
              </w:rPr>
              <w:t>Score CVSS</w:t>
              <w:br/>
            </w:r>
            <w:r>
              <w:rPr>
                <w:b/>
                <w:sz w:val="18"/>
              </w:rPr>
              <w:t>8.1</w:t>
            </w:r>
          </w:p>
        </w:tc>
        <w:tc>
          <w:tcPr>
            <w:tcW w:type="dxa" w:w="2436"/>
          </w:tcPr>
          <w:p>
            <w:r/>
            <w:r>
              <w:rPr>
                <w:color w:val="505A55"/>
                <w:sz w:val="15"/>
              </w:rPr>
              <w:t>Classification</w:t>
              <w:br/>
            </w:r>
            <w:r>
              <w:rPr>
                <w:b/>
                <w:sz w:val="18"/>
              </w:rPr>
              <w:t>CWE-284 · API01:2023 — Autorisation au niveau objet</w:t>
            </w:r>
          </w:p>
        </w:tc>
        <w:tc>
          <w:tcPr>
            <w:tcW w:type="dxa" w:w="2436"/>
          </w:tcPr>
          <w:p>
            <w:r/>
            <w:r>
              <w:rPr>
                <w:color w:val="505A55"/>
                <w:sz w:val="15"/>
              </w:rPr>
              <w:t>Statut</w:t>
              <w:br/>
            </w:r>
            <w:r>
              <w:rPr>
                <w:b/>
                <w:sz w:val="18"/>
              </w:rPr>
              <w:t>Ouverte</w:t>
            </w:r>
          </w:p>
        </w:tc>
      </w:tr>
    </w:tbl>
    <w:p/>
    <w:p>
      <w:r>
        <w:rPr>
          <w:b w:val="0"/>
          <w:i/>
          <w:color w:val="505A55"/>
          <w:sz w:val="18"/>
        </w:rPr>
        <w:t>OWASP API Top 10</w:t>
      </w:r>
    </w:p>
    <w:p>
      <w:pPr>
        <w:pStyle w:val="Heading3"/>
      </w:pPr>
      <w:r>
        <w:t>Description</w:t>
      </w:r>
    </w:p>
    <w:p>
      <w:r>
        <w:rPr>
          <w:b w:val="0"/>
          <w:i w:val="0"/>
          <w:sz w:val="20"/>
        </w:rPr>
        <w:t>Les endpoints /api/v2/dossiers/{id} vérifient le rôle de l'appelant mais pas la propriété de l'objet demandé. Un identifiant d'un autre service est traité sans contrôle supplémentaire.</w:t>
      </w:r>
    </w:p>
    <w:p>
      <w:pPr>
        <w:pStyle w:val="Heading3"/>
      </w:pPr>
      <w:r>
        <w:t>Reproduction</w:t>
      </w:r>
    </w:p>
    <w:tbl>
      <w:tblPr>
        <w:tblStyle w:val="TableGrid"/>
        <w:tblW w:type="auto" w:w="0"/>
        <w:tblLook w:firstColumn="1" w:firstRow="1" w:lastColumn="0" w:lastRow="0" w:noHBand="0" w:noVBand="1" w:val="04A0"/>
      </w:tblPr>
      <w:tblGrid>
        <w:gridCol w:w="9746"/>
      </w:tblGrid>
      <w:tr>
        <w:tc>
          <w:tcPr>
            <w:tcW w:type="dxa" w:w="9746"/>
            <w:shd w:val="clear" w:fill="F4F6F5"/>
          </w:tcPr>
          <w:p>
            <w:pPr>
              <w:spacing w:after="0" w:before="0"/>
            </w:pPr>
            <w:r/>
            <w:r>
              <w:rPr>
                <w:rFonts w:ascii="Consolas" w:hAnsi="Consolas"/>
                <w:sz w:val="17"/>
              </w:rPr>
              <w:t>GET /api/v2/dossiers/8830 HTTP/1.1</w:t>
            </w:r>
          </w:p>
          <w:p>
            <w:pPr>
              <w:spacing w:after="0" w:before="0"/>
            </w:pPr>
            <w:r>
              <w:rPr>
                <w:rFonts w:ascii="Consolas" w:hAnsi="Consolas"/>
                <w:sz w:val="17"/>
              </w:rPr>
              <w:t>Host: api.exemple-client.ci</w:t>
            </w:r>
          </w:p>
          <w:p>
            <w:pPr>
              <w:spacing w:after="0" w:before="0"/>
            </w:pPr>
            <w:r>
              <w:rPr>
                <w:rFonts w:ascii="Consolas" w:hAnsi="Consolas"/>
                <w:sz w:val="17"/>
              </w:rPr>
              <w:t>Authorization: Bearer &lt;jeton d'un compte standard, service A&gt;</w:t>
            </w:r>
          </w:p>
          <w:p>
            <w:pPr>
              <w:spacing w:after="0" w:before="0"/>
            </w:pPr>
            <w:r>
              <w:rPr>
                <w:rFonts w:ascii="Consolas" w:hAnsi="Consolas"/>
                <w:sz w:val="17"/>
              </w:rPr>
            </w:r>
          </w:p>
          <w:p>
            <w:pPr>
              <w:spacing w:after="0" w:before="0"/>
            </w:pPr>
            <w:r>
              <w:rPr>
                <w:rFonts w:ascii="Consolas" w:hAnsi="Consolas"/>
                <w:sz w:val="17"/>
              </w:rPr>
              <w:t>HTTP/1.1 200 OK</w:t>
            </w:r>
          </w:p>
          <w:p>
            <w:pPr>
              <w:spacing w:after="0" w:before="0"/>
            </w:pPr>
            <w:r>
              <w:rPr>
                <w:rFonts w:ascii="Consolas" w:hAnsi="Consolas"/>
                <w:sz w:val="17"/>
              </w:rPr>
            </w:r>
          </w:p>
          <w:p>
            <w:pPr>
              <w:spacing w:after="0" w:before="0"/>
            </w:pPr>
            <w:r>
              <w:rPr>
                <w:rFonts w:ascii="Consolas" w:hAnsi="Consolas"/>
                <w:sz w:val="17"/>
              </w:rPr>
              <w:t>{ "id": 8830, "service": "service-B", "pieces_jointes": [ ... ] }</w:t>
            </w:r>
          </w:p>
          <w:p>
            <w:pPr>
              <w:spacing w:after="0" w:before="0"/>
            </w:pPr>
            <w:r>
              <w:rPr>
                <w:rFonts w:ascii="Consolas" w:hAnsi="Consolas"/>
                <w:sz w:val="17"/>
              </w:rPr>
            </w:r>
          </w:p>
          <w:p>
            <w:pPr>
              <w:spacing w:after="0" w:before="0"/>
            </w:pPr>
            <w:r>
              <w:rPr>
                <w:rFonts w:ascii="Consolas" w:hAnsi="Consolas"/>
                <w:sz w:val="17"/>
              </w:rPr>
              <w:t>→ le dossier appartient au service B ; il est renvoyé intégralement,</w:t>
            </w:r>
          </w:p>
          <w:p>
            <w:pPr>
              <w:spacing w:after="0" w:before="0"/>
            </w:pPr>
            <w:r>
              <w:rPr>
                <w:rFonts w:ascii="Consolas" w:hAnsi="Consolas"/>
                <w:sz w:val="17"/>
              </w:rPr>
              <w:t xml:space="preserve">  pièces jointes comprises.</w:t>
            </w:r>
          </w:p>
        </w:tc>
      </w:tr>
    </w:tbl>
    <w:p/>
    <w:p>
      <w:pPr>
        <w:pStyle w:val="Heading3"/>
      </w:pPr>
      <w:r>
        <w:t>Impact démontré</w:t>
      </w:r>
    </w:p>
    <w:p>
      <w:r>
        <w:rPr>
          <w:b w:val="0"/>
          <w:i w:val="0"/>
          <w:sz w:val="20"/>
        </w:rPr>
        <w:t>Rupture du cloisonnement entre services : un compte de niveau standard accède à des dossiers qui ne lui sont pas destinés. Le contrôle d'accès n'est pas seulement insuffisant, il donne une fausse assurance puisqu'un contrôle de rôle existe et passe.</w:t>
      </w:r>
    </w:p>
    <w:p>
      <w:pPr>
        <w:pStyle w:val="Heading3"/>
      </w:pPr>
      <w:r>
        <w:t>Correctif attendu</w:t>
      </w:r>
    </w:p>
    <w:p>
      <w:r>
        <w:rPr>
          <w:b w:val="0"/>
          <w:i w:val="0"/>
          <w:sz w:val="20"/>
        </w:rPr>
        <w:t>Contrôler la propriété de chaque objet côté serveur, en dérivant l'appartenance du jeton d'authentification et jamais d'un paramètre de la requête. Ajouter des tests d'autorisation automatisés dans la chaîne d'intégration, sur au moins deux comptes distincts par endpoint.</w:t>
      </w:r>
    </w:p>
    <w:p>
      <w:pPr>
        <w:pStyle w:val="Heading3"/>
      </w:pPr>
      <w:r>
        <w:t>Vérification</w:t>
      </w:r>
    </w:p>
    <w:p>
      <w:r>
        <w:rPr>
          <w:b w:val="0"/>
          <w:i/>
          <w:sz w:val="20"/>
        </w:rPr>
        <w:t>Constante ouverte à la date d'émission du rapport. Une contre-visite est disponible dès que la correction est déployée : la demande se fait depuis le portail de suivi, sans frais supplémentaires.</w:t>
      </w:r>
    </w:p>
    <w:p>
      <w:pPr>
        <w:pStyle w:val="Heading2"/>
      </w:pPr>
      <w:r>
        <w:t>C-08 — Divulgation d'information par les en-têtes de réponse</w:t>
      </w:r>
    </w:p>
    <w:tbl>
      <w:tblPr>
        <w:tblStyle w:val="TableGrid"/>
        <w:tblW w:type="auto" w:w="0"/>
        <w:tblLook w:firstColumn="1" w:firstRow="1" w:lastColumn="0" w:lastRow="0" w:noHBand="0" w:noVBand="1" w:val="04A0"/>
      </w:tblPr>
      <w:tblGrid>
        <w:gridCol w:w="2436"/>
        <w:gridCol w:w="2436"/>
        <w:gridCol w:w="2436"/>
        <w:gridCol w:w="2436"/>
      </w:tblGrid>
      <w:tr>
        <w:tc>
          <w:tcPr>
            <w:tcW w:type="dxa" w:w="2436"/>
          </w:tcPr>
          <w:p>
            <w:r/>
            <w:r>
              <w:rPr>
                <w:color w:val="505A55"/>
                <w:sz w:val="15"/>
              </w:rPr>
              <w:t>Sévérité</w:t>
              <w:br/>
            </w:r>
            <w:r>
              <w:rPr>
                <w:b/>
                <w:sz w:val="18"/>
              </w:rPr>
              <w:t>Faible</w:t>
            </w:r>
          </w:p>
        </w:tc>
        <w:tc>
          <w:tcPr>
            <w:tcW w:type="dxa" w:w="2436"/>
          </w:tcPr>
          <w:p>
            <w:r/>
            <w:r>
              <w:rPr>
                <w:color w:val="505A55"/>
                <w:sz w:val="15"/>
              </w:rPr>
              <w:t>Score CVSS</w:t>
              <w:br/>
            </w:r>
            <w:r>
              <w:rPr>
                <w:b/>
                <w:sz w:val="18"/>
              </w:rPr>
              <w:t>3.1</w:t>
            </w:r>
          </w:p>
        </w:tc>
        <w:tc>
          <w:tcPr>
            <w:tcW w:type="dxa" w:w="2436"/>
          </w:tcPr>
          <w:p>
            <w:r/>
            <w:r>
              <w:rPr>
                <w:color w:val="505A55"/>
                <w:sz w:val="15"/>
              </w:rPr>
              <w:t>Classification</w:t>
              <w:br/>
            </w:r>
            <w:r>
              <w:rPr>
                <w:b/>
                <w:sz w:val="18"/>
              </w:rPr>
              <w:t>CWE-200 · A05:2021 — Mauvaise configuration</w:t>
            </w:r>
          </w:p>
        </w:tc>
        <w:tc>
          <w:tcPr>
            <w:tcW w:type="dxa" w:w="2436"/>
          </w:tcPr>
          <w:p>
            <w:r/>
            <w:r>
              <w:rPr>
                <w:color w:val="505A55"/>
                <w:sz w:val="15"/>
              </w:rPr>
              <w:t>Statut</w:t>
              <w:br/>
            </w:r>
            <w:r>
              <w:rPr>
                <w:b/>
                <w:sz w:val="18"/>
              </w:rPr>
              <w:t>Acceptée</w:t>
            </w:r>
          </w:p>
        </w:tc>
      </w:tr>
    </w:tbl>
    <w:p/>
    <w:p>
      <w:r>
        <w:rPr>
          <w:b w:val="0"/>
          <w:i/>
          <w:color w:val="505A55"/>
          <w:sz w:val="18"/>
        </w:rPr>
        <w:t>OWASP Top 10</w:t>
      </w:r>
    </w:p>
    <w:p>
      <w:pPr>
        <w:pStyle w:val="Heading3"/>
      </w:pPr>
      <w:r>
        <w:t>Description</w:t>
      </w:r>
    </w:p>
    <w:p>
      <w:r>
        <w:rPr>
          <w:b w:val="0"/>
          <w:i w:val="0"/>
          <w:sz w:val="20"/>
        </w:rPr>
        <w:t>Les en-têtes de réponse du portail exposent le serveur applicatif, sa version exacte et le système d'exploitation sous-jacent.</w:t>
      </w:r>
    </w:p>
    <w:p>
      <w:pPr>
        <w:pStyle w:val="Heading3"/>
      </w:pPr>
      <w:r>
        <w:t>Reproduction</w:t>
      </w:r>
    </w:p>
    <w:tbl>
      <w:tblPr>
        <w:tblStyle w:val="TableGrid"/>
        <w:tblW w:type="auto" w:w="0"/>
        <w:tblLook w:firstColumn="1" w:firstRow="1" w:lastColumn="0" w:lastRow="0" w:noHBand="0" w:noVBand="1" w:val="04A0"/>
      </w:tblPr>
      <w:tblGrid>
        <w:gridCol w:w="9746"/>
      </w:tblGrid>
      <w:tr>
        <w:tc>
          <w:tcPr>
            <w:tcW w:type="dxa" w:w="9746"/>
            <w:shd w:val="clear" w:fill="F4F6F5"/>
          </w:tcPr>
          <w:p>
            <w:pPr>
              <w:spacing w:after="0" w:before="0"/>
            </w:pPr>
            <w:r/>
            <w:r>
              <w:rPr>
                <w:rFonts w:ascii="Consolas" w:hAnsi="Consolas"/>
                <w:sz w:val="17"/>
              </w:rPr>
              <w:t>HTTP/1.1 200 OK</w:t>
            </w:r>
          </w:p>
          <w:p>
            <w:pPr>
              <w:spacing w:after="0" w:before="0"/>
            </w:pPr>
            <w:r>
              <w:rPr>
                <w:rFonts w:ascii="Consolas" w:hAnsi="Consolas"/>
                <w:sz w:val="17"/>
              </w:rPr>
              <w:t>Server: &lt;serveur&gt;/&lt;version exacte&gt; (&lt;système&gt;)</w:t>
            </w:r>
          </w:p>
          <w:p>
            <w:pPr>
              <w:spacing w:after="0" w:before="0"/>
            </w:pPr>
            <w:r>
              <w:rPr>
                <w:rFonts w:ascii="Consolas" w:hAnsi="Consolas"/>
                <w:sz w:val="17"/>
              </w:rPr>
              <w:t>X-Powered-By: &lt;cadre applicatif&gt;/&lt;version&gt;</w:t>
            </w:r>
          </w:p>
          <w:p>
            <w:pPr>
              <w:spacing w:after="0" w:before="0"/>
            </w:pPr>
            <w:r>
              <w:rPr>
                <w:rFonts w:ascii="Consolas" w:hAnsi="Consolas"/>
                <w:sz w:val="17"/>
              </w:rPr>
            </w:r>
          </w:p>
          <w:p>
            <w:pPr>
              <w:spacing w:after="0" w:before="0"/>
            </w:pPr>
            <w:r>
              <w:rPr>
                <w:rFonts w:ascii="Consolas" w:hAnsi="Consolas"/>
                <w:sz w:val="17"/>
              </w:rPr>
              <w:t>→ la version exacte permet de cibler des vulnérabilités publiques.</w:t>
            </w:r>
          </w:p>
        </w:tc>
      </w:tr>
    </w:tbl>
    <w:p/>
    <w:p>
      <w:pPr>
        <w:pStyle w:val="Heading3"/>
      </w:pPr>
      <w:r>
        <w:t>Impact démontré</w:t>
      </w:r>
    </w:p>
    <w:p>
      <w:r>
        <w:rPr>
          <w:b w:val="0"/>
          <w:i w:val="0"/>
          <w:sz w:val="20"/>
        </w:rPr>
        <w:t>Impact limité en lui-même : il s'agit d'une aide à la reconnaissance. Le risque devient réel lorsque la version exposée correspond à une vulnérabilité publique connue et non corrigée.</w:t>
      </w:r>
    </w:p>
    <w:p>
      <w:pPr>
        <w:pStyle w:val="Heading3"/>
      </w:pPr>
      <w:r>
        <w:t>Correctif attendu</w:t>
      </w:r>
    </w:p>
    <w:p>
      <w:r>
        <w:rPr>
          <w:b w:val="0"/>
          <w:i w:val="0"/>
          <w:sz w:val="20"/>
        </w:rPr>
        <w:t>Masquer les en-têtes de version au niveau du serveur frontal. Ne jamais exposer de numéro de version dans une réponse publique.</w:t>
      </w:r>
    </w:p>
    <w:p>
      <w:pPr>
        <w:pStyle w:val="Heading3"/>
      </w:pPr>
      <w:r>
        <w:t>Vérification</w:t>
      </w:r>
    </w:p>
    <w:p>
      <w:r>
        <w:rPr>
          <w:b w:val="0"/>
          <w:i/>
          <w:sz w:val="20"/>
        </w:rPr>
        <w:t>Constat accepté par le client : la correction est planifiée au prochain cycle de mise à jour de l'infrastructure. Le risque résiduel est consigné et suivi dans le portail.</w:t>
      </w:r>
    </w:p>
    <w:p>
      <w:r>
        <w:br w:type="page"/>
      </w:r>
    </w:p>
    <w:p>
      <w:pPr>
        <w:pStyle w:val="Heading1"/>
      </w:pPr>
      <w:r>
        <w:t>5. Attestation de contre-visite</w:t>
      </w:r>
    </w:p>
    <w:p>
      <w:r>
        <w:rPr>
          <w:b w:val="0"/>
          <w:i w:val="0"/>
          <w:sz w:val="20"/>
        </w:rPr>
        <w:t>Les constats ci-dessous ont fait l'objet d'une contre-visite : l'exploitation a été rejouée après correction, et son échec a été constaté. Cette attestation ne couvre que les points listés.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fill="E8EDEB"/>
          </w:tcPr>
          <w:p>
            <w:r/>
            <w:r>
              <w:rPr>
                <w:b/>
                <w:sz w:val="18"/>
              </w:rPr>
              <w:t>Réf.</w:t>
            </w:r>
          </w:p>
        </w:tc>
        <w:tc>
          <w:tcPr>
            <w:tcW w:type="dxa" w:w="2436"/>
            <w:shd w:val="clear" w:fill="E8EDEB"/>
          </w:tcPr>
          <w:p>
            <w:r/>
            <w:r>
              <w:rPr>
                <w:b/>
                <w:sz w:val="18"/>
              </w:rPr>
              <w:t>Constat</w:t>
            </w:r>
          </w:p>
        </w:tc>
        <w:tc>
          <w:tcPr>
            <w:tcW w:type="dxa" w:w="2436"/>
            <w:shd w:val="clear" w:fill="E8EDEB"/>
          </w:tcPr>
          <w:p>
            <w:r/>
            <w:r>
              <w:rPr>
                <w:b/>
                <w:sz w:val="18"/>
              </w:rPr>
              <w:t>Vérifié le</w:t>
            </w:r>
          </w:p>
        </w:tc>
        <w:tc>
          <w:tcPr>
            <w:tcW w:type="dxa" w:w="2436"/>
            <w:shd w:val="clear" w:fill="E8EDEB"/>
          </w:tcPr>
          <w:p>
            <w:r/>
            <w:r>
              <w:rPr>
                <w:b/>
                <w:sz w:val="18"/>
              </w:rPr>
              <w:t>Résultat</w:t>
            </w:r>
          </w:p>
        </w:tc>
      </w:tr>
      <w:tr>
        <w:tc>
          <w:tcPr>
            <w:tcW w:type="dxa" w:w="2436"/>
          </w:tcPr>
          <w:p>
            <w:r/>
            <w:r>
              <w:rPr>
                <w:sz w:val="18"/>
              </w:rPr>
              <w:t>C-01</w:t>
            </w:r>
          </w:p>
        </w:tc>
        <w:tc>
          <w:tcPr>
            <w:tcW w:type="dxa" w:w="2436"/>
          </w:tcPr>
          <w:p>
            <w:r/>
            <w:r>
              <w:rPr>
                <w:sz w:val="18"/>
              </w:rPr>
              <w:t>Injection SQL dans la recherche</w:t>
            </w:r>
          </w:p>
        </w:tc>
        <w:tc>
          <w:tcPr>
            <w:tcW w:type="dxa" w:w="2436"/>
          </w:tcPr>
          <w:p>
            <w:r/>
            <w:r>
              <w:rPr>
                <w:sz w:val="18"/>
              </w:rPr>
              <w:t>12/03/2026</w:t>
            </w:r>
          </w:p>
        </w:tc>
        <w:tc>
          <w:tcPr>
            <w:tcW w:type="dxa" w:w="2436"/>
          </w:tcPr>
          <w:p>
            <w:r/>
            <w:r>
              <w:rPr>
                <w:sz w:val="18"/>
              </w:rPr>
              <w:t>Exploitation rejouée : échec. Requêtes paramétrées effectives.</w:t>
            </w:r>
          </w:p>
        </w:tc>
      </w:tr>
      <w:tr>
        <w:tc>
          <w:tcPr>
            <w:tcW w:type="dxa" w:w="2436"/>
          </w:tcPr>
          <w:p>
            <w:r/>
            <w:r>
              <w:rPr>
                <w:sz w:val="18"/>
              </w:rPr>
              <w:t>C-02</w:t>
            </w:r>
          </w:p>
        </w:tc>
        <w:tc>
          <w:tcPr>
            <w:tcW w:type="dxa" w:w="2436"/>
          </w:tcPr>
          <w:p>
            <w:r/>
            <w:r>
              <w:rPr>
                <w:sz w:val="18"/>
              </w:rPr>
              <w:t>Contrôle d'accès horizontal sur les factures</w:t>
            </w:r>
          </w:p>
        </w:tc>
        <w:tc>
          <w:tcPr>
            <w:tcW w:type="dxa" w:w="2436"/>
          </w:tcPr>
          <w:p>
            <w:r/>
            <w:r>
              <w:rPr>
                <w:sz w:val="18"/>
              </w:rPr>
              <w:t>15/03/2026</w:t>
            </w:r>
          </w:p>
        </w:tc>
        <w:tc>
          <w:tcPr>
            <w:tcW w:type="dxa" w:w="2436"/>
          </w:tcPr>
          <w:p>
            <w:r/>
            <w:r>
              <w:rPr>
                <w:sz w:val="18"/>
              </w:rPr>
              <w:t>Six identifiants d'autres comptes testés : tous refusés.</w:t>
            </w:r>
          </w:p>
        </w:tc>
      </w:tr>
    </w:tbl>
    <w:p/>
    <w:p>
      <w:r>
        <w:rPr>
          <w:b/>
          <w:i w:val="0"/>
          <w:sz w:val="20"/>
        </w:rPr>
        <w:t>Limites de cette attestation</w:t>
      </w:r>
    </w:p>
    <w:p>
      <w:r>
        <w:rPr>
          <w:b w:val="0"/>
          <w:i w:val="0"/>
          <w:color w:val="505A55"/>
          <w:sz w:val="19"/>
        </w:rPr>
        <w:t>Elle porte uniquement sur les deux constats listés, à la date indiquée. Elle ne constitue ni une certification de conformité, ni une garantie d'absence de vulnérabilité. Toute modification ultérieure du code ou de la configuration peut rouvrir les faiblesses corrigées.</w:t>
      </w:r>
    </w:p>
    <w:p/>
    <w:p>
      <w:r>
        <w:rPr>
          <w:b w:val="0"/>
          <w:i/>
          <w:color w:val="505A55"/>
          <w:sz w:val="18"/>
        </w:rPr>
        <w:t>Fin du document — exemple de démonstration.</w:t>
      </w:r>
    </w:p>
    <w:sectPr w:rsidR="00FC693F" w:rsidRPr="0006063C" w:rsidSect="00034616">
      <w:pgSz w:w="12240" w:h="15840"/>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B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B6B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