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423EFB" w:rsidP="7C423EFB" w:rsidRDefault="7C423EFB" w14:paraId="40C6A45C" w14:textId="6830206D">
      <w:pPr>
        <w:pStyle w:val="NoSpacing"/>
        <w:ind w:left="-1440"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Int_etr2H21h" w:id="1209941199"/>
      <w:r>
        <w:drawing>
          <wp:inline wp14:editId="44586ECB" wp14:anchorId="0FAEBF74">
            <wp:extent cx="7772400" cy="2121218"/>
            <wp:effectExtent l="0" t="0" r="0" b="0"/>
            <wp:docPr id="1228364993" name="" title="Decorative header edge to edge image with graphic representation of two tre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b11608c77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2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09941199"/>
    </w:p>
    <w:p w:rsidR="7C423EFB" w:rsidP="7C423EFB" w:rsidRDefault="7C423EFB" w14:paraId="6E7ACF94" w14:textId="17260D22">
      <w:pPr>
        <w:pStyle w:val="Normal"/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  <w:t>OpenGL (Open Graphics Library)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 </w:t>
      </w:r>
      <w:r>
        <w:drawing>
          <wp:inline wp14:editId="1C7A3FF0" wp14:anchorId="7B485B23">
            <wp:extent cx="3998058" cy="2998543"/>
            <wp:effectExtent l="0" t="0" r="0" b="0"/>
            <wp:docPr id="2109180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129940307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058" cy="29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23EFB" w:rsidP="7C423EFB" w:rsidRDefault="7C423EFB" w14:paraId="24C7273B" w14:textId="19D0CC9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C423EFB" w:rsidP="7C423EFB" w:rsidRDefault="7C423EFB" w14:paraId="3C923C09" w14:textId="6D993064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OpenGL (Open Graphics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Library)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specificație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unui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standard care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definește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un API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(Application Programming Interface)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multiplatformă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foarte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utilizat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pentru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programarea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componentelor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grafice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2D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3D ale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programelor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calculator.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Interfața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constă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250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apeluri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diferite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care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folosesc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la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desena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pe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ecranul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calculatorului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scene 3D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complexe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din primitive (din primitives,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elemente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simple). OpenGL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fost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inițial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dezvoltat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compania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Silicon Graphics, Inc. (SGI)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1992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foarte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utilizat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grafică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asistată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calculator,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realitate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virtuală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vizualizare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științifică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simulări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zboruri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sau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jocuri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pe calculator.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Acest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ultim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domeniu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strânsă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competiție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cu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tehnologia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DirectX de la Microsoft (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compară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OpenGL cu Direct3D).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Proiectul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OpenGL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condus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compania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Khronos Group, un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consorțiu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tehnologic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non-profit.</w:t>
      </w:r>
    </w:p>
    <w:p w:rsidR="7C423EFB" w:rsidP="7C423EFB" w:rsidRDefault="7C423EFB" w14:paraId="5E448E0B" w14:textId="0A4B82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OpenGL are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două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scopuri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principale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="7C423EFB" w:rsidP="7C423EFB" w:rsidRDefault="7C423EFB" w14:paraId="0D3A0BE0" w14:textId="32497E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mascheze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ascundă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)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complexitatea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interfețelor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diferite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acceleratoare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3D,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prin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confruntarea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programatorului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cu un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singur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API uniform.</w:t>
      </w:r>
    </w:p>
    <w:p w:rsidR="7C423EFB" w:rsidP="7C423EFB" w:rsidRDefault="7C423EFB" w14:paraId="6387B551" w14:textId="090FE5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mascheze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capabilitățile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diferitelor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platforme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hardware, prin cerința ca toate implementările să accepte OpenGL ca un set complet (cu ajutorul emulării de software, dacă este necesar).</w:t>
      </w:r>
    </w:p>
    <w:p w:rsidR="7C423EFB" w:rsidP="7C423EFB" w:rsidRDefault="7C423EFB" w14:paraId="3030F98A" w14:textId="4130853A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OpenGL nu se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mai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află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într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-o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dezvoltare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continuă,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timp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între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anii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2001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2014,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specificațiile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OpenGL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erau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actualizate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mare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parte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fiecare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an, cu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două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lansări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(3.1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3.2)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având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loc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2009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trei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(3.3, 4.0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4.1)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2010,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mai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recentă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specificație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OpenGL 4.6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fost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lansată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2017,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după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pauză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trei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ani,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s-a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limitat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la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includerea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unsprezece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extensii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existente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ARB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EXT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profilul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bază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7C423EFB" w:rsidP="7C423EFB" w:rsidRDefault="7C423EFB" w14:paraId="0899D461" w14:textId="26745B98">
      <w:pPr>
        <w:pStyle w:val="Normal"/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OpenGL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fost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tehnologie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fundamentală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dezvoltarea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jocurilor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pe calculator,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special,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dar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aplicațiilor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grafice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graficii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pe calculator. Cu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timpul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, au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apărut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noi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tehnologii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sau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derivate din OpenGL,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printre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care se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numără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w:rsidR="7C423EFB" w:rsidP="7C423EFB" w:rsidRDefault="7C423EFB" w14:paraId="253DE85A" w14:textId="10238A1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2"/>
          <w:szCs w:val="22"/>
        </w:rPr>
        <w:t>OpenGL ES (Embedded Systems)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OpenGL ES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versiune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adaptată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OpenGL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pentru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dispozitive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înglobate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cum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fi smartphone-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tablete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dispozitive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IoT</w:t>
      </w:r>
    </w:p>
    <w:p w:rsidR="7C423EFB" w:rsidP="7C423EFB" w:rsidRDefault="7C423EFB" w14:paraId="42128241" w14:textId="3F18512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2"/>
          <w:szCs w:val="22"/>
        </w:rPr>
        <w:t>WebGL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WebGL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tehnologie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bazată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pe OpenGL care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aduce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grafica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3D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mediul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web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fără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necesita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un plugin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suplimentar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Este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integrată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browserele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web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moderne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permite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dezvoltatorilor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creeze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aplicații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web interactive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jocuri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grafică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3D,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utilizând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limbaje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precum JavaScript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HTML5.</w:t>
      </w:r>
    </w:p>
    <w:p w:rsidR="7C423EFB" w:rsidP="7C423EFB" w:rsidRDefault="7C423EFB" w14:paraId="51A2C050" w14:textId="2DB840B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2"/>
          <w:szCs w:val="22"/>
        </w:rPr>
        <w:t>Vulkan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Vulkan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tehnologie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grafică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modernă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dezvoltată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Khronos Group,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aceeași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organizație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care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dezvoltat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OpenGL.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Aceasta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impune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abordare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detaliată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programării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grafice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ceea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duce la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performanțe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superioare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anumite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scenarii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7C423EFB" w:rsidP="7C423EFB" w:rsidRDefault="7C423EFB" w14:paraId="39303538" w14:textId="47108F2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2"/>
          <w:szCs w:val="22"/>
        </w:rPr>
        <w:t xml:space="preserve">OpenCL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2"/>
          <w:szCs w:val="22"/>
        </w:rPr>
        <w:t>Open Computing Language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):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Asemănătoare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cu OpenGL,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orientată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către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calculul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paralel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7C423EFB" w:rsidP="7C423EFB" w:rsidRDefault="7C423EFB" w14:paraId="37E0C0AE" w14:textId="695E007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2"/>
          <w:szCs w:val="22"/>
        </w:rPr>
        <w:t>DirectX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Acesta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set de API-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dezvoltat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Microsoft care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oferă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funcționalități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grafice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multimedia pe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platforma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Windows.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nu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derivată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directă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OpenGL, DirectX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adesea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menționată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comparație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cu OpenGL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contextul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dezvoltării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jocuri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platforma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Windows.</w:t>
      </w:r>
    </w:p>
    <w:p w:rsidR="7C423EFB" w:rsidP="7C423EFB" w:rsidRDefault="7C423EFB" w14:paraId="7F05EF3A" w14:textId="385D0A1E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Tehnologiile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derivate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înrudite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cu OpenGL au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dus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la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îmbunătățiri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semnificative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performanță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control. Vulkan,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exemplu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oferă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un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nivel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control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mai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mare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performanță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mai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bună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decat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OpenGL,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dar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aduce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cu sine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complexitate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crescută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dezvoltare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Alegerea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dintre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aceste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tehnologii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depinde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necesitatile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utilizatorului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dar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obiectivele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celui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care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va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creea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proiectul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7C423EFB" w:rsidP="7C423EFB" w:rsidRDefault="7C423EFB" w14:paraId="06CF4892" w14:textId="50280FF5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Avand in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vedere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ca am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prezentat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alte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tehnologii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derivate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sau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inrudite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cu OpenGL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timpul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ne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uitam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la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punctele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sale tari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slabe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7C423EFB" w:rsidP="7C423EFB" w:rsidRDefault="7C423EFB" w14:paraId="2D1E0294" w14:textId="79E84F2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4"/>
          <w:szCs w:val="24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00B050"/>
          <w:sz w:val="24"/>
          <w:szCs w:val="24"/>
        </w:rPr>
        <w:t>Puncte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00B050"/>
          <w:sz w:val="24"/>
          <w:szCs w:val="24"/>
        </w:rPr>
        <w:t xml:space="preserve"> tari ale OpenGL:</w:t>
      </w:r>
    </w:p>
    <w:p w:rsidR="7C423EFB" w:rsidP="7C423EFB" w:rsidRDefault="7C423EFB" w14:paraId="5E793818" w14:textId="4E65CB46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Portabilitate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Aplicațiile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dezvoltate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cu OpenGL pot fi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ușor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transferate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între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diferite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platforme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datorită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faptului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specificațiile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OpenGL sunt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independente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platformă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7C423EFB" w:rsidP="7C423EFB" w:rsidRDefault="7C423EFB" w14:paraId="29AE62C1" w14:textId="0BA41C39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Performanță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OpenGL utilizează eficient resursele hardware disponibile, permițând dezvoltatorilor să creeze aplicații cu performanțe ridicate. Controlul direct asupra hardware-ului face posibilă optimizarea specifică pentru fiecare platformă.</w:t>
      </w:r>
    </w:p>
    <w:p w:rsidR="7C423EFB" w:rsidP="7C423EFB" w:rsidRDefault="7C423EFB" w14:paraId="6ED1E65B" w14:textId="75887DF4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Suport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pentru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3D: OpenGL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oferă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suport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pentru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proiecții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3D,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transformări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alte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funcții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necesare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pentru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scene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liste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7C423EFB" w:rsidP="7C423EFB" w:rsidRDefault="7C423EFB" w14:paraId="1DA39252" w14:textId="3B6D7130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  <w:t>Puncte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  <w:t>slabe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  <w:t xml:space="preserve"> ale OpenGL:</w:t>
      </w:r>
    </w:p>
    <w:p w:rsidR="7C423EFB" w:rsidP="7C423EFB" w:rsidRDefault="7C423EFB" w14:paraId="78C7BAC4" w14:textId="564D9343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Interfața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programare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Unele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dezavantaje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ale OpenGL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includ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complexitatea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Dezvoltatorii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trebuie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scrie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cantitate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semnificativă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cod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pentru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realiza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chiar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sarcini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bază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7C423EFB" w:rsidP="7C423EFB" w:rsidRDefault="7C423EFB" w14:paraId="46D5CD12" w14:textId="3DB9ECB7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Dependență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drivere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Performanța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OpenGL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depinde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calitatea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driverelor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grafice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ale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dispozitivului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</w:p>
    <w:p w:rsidR="7C423EFB" w:rsidP="7C423EFB" w:rsidRDefault="7C423EFB" w14:paraId="4A341ED1" w14:textId="41963942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Evolutie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lenta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comparație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tehnologii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recente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precum Vulkan,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dezvoltarea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OpenGL s-a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desfășurat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într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-un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ritm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lent.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Acest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lucru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condus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la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posibilă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lipsă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suport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pentru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tehnologiile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hardware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recente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7C423EFB" w:rsidP="7C423EFB" w:rsidRDefault="7C423EFB" w14:paraId="3E254EC8" w14:textId="2F64FCEE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>Modelul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 xml:space="preserve"> de automat cu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>stări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 xml:space="preserve"> finite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 xml:space="preserve"> OpenGL:</w:t>
      </w:r>
    </w:p>
    <w:p w:rsidR="7C423EFB" w:rsidP="7C423EFB" w:rsidRDefault="7C423EFB" w14:paraId="6EB1E5B4" w14:textId="4D7DE208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OpenGL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folosește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un model de automat cu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stări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finite,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ces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model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efinește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tările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rin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care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rece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OpenGL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impul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esenării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nei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scene 3D, cum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fi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tarea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esenare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tarea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itire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tarea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exturare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cest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model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jută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la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g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estionarea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ficientă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esurselor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o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perațiilor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g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rafice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7C423EFB" w:rsidP="7C423EFB" w:rsidRDefault="7C423EFB" w14:paraId="4CFD9518" w14:textId="7C91E794">
      <w:pPr>
        <w:pStyle w:val="Normal"/>
        <w:bidi w:val="0"/>
        <w:jc w:val="center"/>
      </w:pPr>
      <w:r>
        <w:drawing>
          <wp:inline wp14:editId="5F7BFFE9" wp14:anchorId="540646AB">
            <wp:extent cx="4572000" cy="2190750"/>
            <wp:effectExtent l="0" t="0" r="0" b="0"/>
            <wp:docPr id="589133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f49b1c3cf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23EFB" w:rsidP="7C423EFB" w:rsidRDefault="7C423EFB" w14:paraId="7600BC5E" w14:textId="12B6EE81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>Impactul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>modelului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 xml:space="preserve"> de automat cu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>stări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 xml:space="preserve"> finite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>asupra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>procesului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>randare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  <w:color w:val="8EAADB" w:themeColor="accent1" w:themeTint="99" w:themeShade="FF"/>
          <w:sz w:val="24"/>
          <w:szCs w:val="24"/>
        </w:rPr>
        <w:t>:</w:t>
      </w:r>
    </w:p>
    <w:p w:rsidR="7C423EFB" w:rsidP="7C423EFB" w:rsidRDefault="7C423EFB" w14:paraId="7CD96746" w14:textId="68B9A20E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Modelul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automat cu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stări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finite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OpenGL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afectează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procesul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randare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prin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faptul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definirea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schimbarea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stărilor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necesare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pentru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desenare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trebuie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fie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gestionate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explicit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către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dezvoltator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Acest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lucru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poate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duce la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complexitate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sporită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codului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necesită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o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atenție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deosebită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pentru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evita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problemele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legate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schimbarea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stărilor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în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mod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neașteptat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7C423EFB" w:rsidP="7C423EFB" w:rsidRDefault="7C423EFB" w14:paraId="791F0500" w14:textId="0CA39EB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Pe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altă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parte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acest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model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oferă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control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detaliat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asupra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resurselor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grafice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și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a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procesului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de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randare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permițând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dezvoltatorilor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să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optimizeze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performanțele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aplicațiilor</w:t>
      </w:r>
      <w:r w:rsidRPr="7C423EFB" w:rsidR="7C423EFB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7C423EFB" w:rsidP="7C423EFB" w:rsidRDefault="7C423EFB" w14:paraId="6D5C2962" w14:textId="1FE1F2D0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C423EFB" w:rsidP="7C423EFB" w:rsidRDefault="7C423EFB" w14:paraId="405B2626" w14:textId="4EE81265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tr2H21h" int2:invalidationBookmarkName="" int2:hashCode="ja6QQs7tE7uC44" int2:id="EaAwAJS7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7473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1c8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fff4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ba7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F66C3"/>
    <w:rsid w:val="5CAF66C3"/>
    <w:rsid w:val="7C42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B97C"/>
  <w15:chartTrackingRefBased/>
  <w15:docId w15:val="{FB8383F6-C656-45B8-889D-98735F83AB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C423EFB"/>
    <w:rPr>
      <w:rFonts w:ascii="The Hand" w:hAnsi="" w:eastAsia="" w:cs=""/>
      <w:b w:val="1"/>
      <w:bCs w:val="1"/>
      <w:i w:val="0"/>
      <w:iCs w:val="0"/>
      <w:color w:val="548235"/>
      <w:sz w:val="48"/>
      <w:szCs w:val="48"/>
      <w:u w:val="none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C423EFB"/>
    <w:rPr>
      <w:rFonts w:ascii="The Hand" w:hAnsi="" w:eastAsia="" w:cs=""/>
      <w:b w:val="1"/>
      <w:bCs w:val="1"/>
      <w:i w:val="0"/>
      <w:iCs w:val="0"/>
      <w:color w:val="548235"/>
      <w:sz w:val="36"/>
      <w:szCs w:val="36"/>
      <w:u w:val="none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C423EFB"/>
    <w:rPr>
      <w:rFonts w:ascii="The Hand" w:hAnsi="" w:eastAsia="" w:cs=""/>
      <w:b w:val="1"/>
      <w:bCs w:val="1"/>
      <w:i w:val="0"/>
      <w:iCs w:val="0"/>
      <w:color w:val="548235"/>
      <w:sz w:val="32"/>
      <w:szCs w:val="32"/>
      <w:u w:val="none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C423EFB"/>
    <w:rPr>
      <w:rFonts w:ascii="The Hand" w:hAnsi="" w:eastAsia="" w:cs=""/>
      <w:b w:val="1"/>
      <w:bCs w:val="1"/>
      <w:i w:val="0"/>
      <w:iCs w:val="0"/>
      <w:color w:val="548235"/>
      <w:sz w:val="30"/>
      <w:szCs w:val="30"/>
      <w:u w:val="none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C423EFB"/>
    <w:rPr>
      <w:rFonts w:ascii="The Hand" w:hAnsi="" w:eastAsia="" w:cs=""/>
      <w:b w:val="1"/>
      <w:bCs w:val="1"/>
      <w:i w:val="0"/>
      <w:iCs w:val="0"/>
      <w:color w:val="548235"/>
      <w:sz w:val="28"/>
      <w:szCs w:val="28"/>
      <w:u w:val="none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C423EFB"/>
    <w:rPr>
      <w:rFonts w:ascii="The Hand" w:hAnsi="" w:eastAsia="" w:cs=""/>
      <w:b w:val="1"/>
      <w:bCs w:val="1"/>
      <w:i w:val="0"/>
      <w:iCs w:val="0"/>
      <w:color w:val="548235"/>
      <w:sz w:val="26"/>
      <w:szCs w:val="26"/>
      <w:u w:val="none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C423EFB"/>
    <w:rPr>
      <w:rFonts w:ascii="The Hand" w:hAnsi="" w:eastAsia="" w:cs=""/>
      <w:b w:val="1"/>
      <w:bCs w:val="1"/>
      <w:i w:val="0"/>
      <w:iCs w:val="0"/>
      <w:color w:val="548235"/>
      <w:sz w:val="24"/>
      <w:szCs w:val="24"/>
      <w:u w:val="none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C423EFB"/>
    <w:rPr>
      <w:rFonts w:ascii="The Hand" w:hAnsi="" w:eastAsia="" w:cs=""/>
      <w:b w:val="1"/>
      <w:bCs w:val="1"/>
      <w:i w:val="0"/>
      <w:iCs w:val="0"/>
      <w:color w:val="548235"/>
      <w:sz w:val="22"/>
      <w:szCs w:val="22"/>
      <w:u w:val="none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C423EFB"/>
    <w:rPr>
      <w:rFonts w:ascii="The Hand" w:hAnsi="" w:eastAsia="" w:cs=""/>
      <w:b w:val="1"/>
      <w:bCs w:val="1"/>
      <w:i w:val="0"/>
      <w:iCs w:val="0"/>
      <w:color w:val="548235"/>
      <w:sz w:val="20"/>
      <w:szCs w:val="20"/>
      <w:u w:val="none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C423EFB"/>
    <w:rPr>
      <w:rFonts w:ascii="The Serif Hand Black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  <w:pPr>
      <w:spacing w:before="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7C423EFB"/>
    <w:rPr>
      <w:rFonts w:ascii="The Hand" w:hAnsi="" w:eastAsia="" w:cs=""/>
      <w:b w:val="0"/>
      <w:bCs w:val="0"/>
      <w:i w:val="0"/>
      <w:iCs w:val="0"/>
      <w:color w:val="548235"/>
      <w:sz w:val="52"/>
      <w:szCs w:val="52"/>
      <w:u w:val="none"/>
    </w:rPr>
    <w:pPr>
      <w:spacing w:before="0"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7C423EFB"/>
    <w:rPr>
      <w:rFonts w:ascii="Amasis MT Pro Light"/>
      <w:b w:val="0"/>
      <w:bCs w:val="0"/>
      <w:i w:val="1"/>
      <w:iCs w:val="1"/>
      <w:color w:val="404040" w:themeColor="text1" w:themeTint="BF" w:themeShade="FF"/>
      <w:sz w:val="20"/>
      <w:szCs w:val="20"/>
      <w:u w:val="none"/>
    </w:rPr>
    <w:pPr>
      <w:spacing w:before="200" w:after="24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C423EFB"/>
    <w:rPr>
      <w:rFonts w:ascii="Amasis MT Pro Light"/>
      <w:b w:val="0"/>
      <w:bCs w:val="0"/>
      <w:i w:val="1"/>
      <w:iCs w:val="1"/>
      <w:color w:val="4472C4" w:themeColor="accent1" w:themeTint="FF" w:themeShade="FF"/>
      <w:sz w:val="20"/>
      <w:szCs w:val="20"/>
      <w:u w:val="none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240"/>
      <w:ind w:left="0" w:hanging="360"/>
      <w:contextualSpacing/>
      <w:jc w:val="both"/>
    </w:pPr>
  </w:style>
  <w:style w:type="character" w:styleId="Heading1Char" w:customStyle="true">
    <w:uiPriority w:val="9"/>
    <w:name w:val="Heading 1 Char"/>
    <w:basedOn w:val="DefaultParagraphFont"/>
    <w:link w:val="Heading1"/>
    <w:rsid w:val="7C423EFB"/>
    <w:rPr>
      <w:rFonts w:ascii="The Hand" w:hAnsi="" w:eastAsia="" w:cs=""/>
      <w:b w:val="1"/>
      <w:bCs w:val="1"/>
      <w:i w:val="0"/>
      <w:iCs w:val="0"/>
      <w:color w:val="548235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C423EFB"/>
    <w:rPr>
      <w:rFonts w:ascii="The Hand" w:hAnsi="" w:eastAsia="" w:cs=""/>
      <w:b w:val="1"/>
      <w:bCs w:val="1"/>
      <w:i w:val="0"/>
      <w:iCs w:val="0"/>
      <w:color w:val="548235"/>
      <w:sz w:val="36"/>
      <w:szCs w:val="36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C423EFB"/>
    <w:rPr>
      <w:rFonts w:ascii="The Hand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C423EFB"/>
    <w:rPr>
      <w:rFonts w:ascii="The Hand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C423EFB"/>
    <w:rPr>
      <w:rFonts w:ascii="The Hand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C423EFB"/>
    <w:rPr>
      <w:rFonts w:ascii="The Hand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C423EFB"/>
    <w:rPr>
      <w:rFonts w:ascii="The Hand" w:hAnsi="" w:eastAsia="" w:cs=""/>
      <w:b w:val="1"/>
      <w:bCs w:val="1"/>
      <w:i w:val="0"/>
      <w:iCs w:val="0"/>
      <w:color w:val="548235"/>
      <w:sz w:val="24"/>
      <w:szCs w:val="24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C423EFB"/>
    <w:rPr>
      <w:rFonts w:ascii="The Hand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C423EFB"/>
    <w:rPr>
      <w:rFonts w:ascii="The Hand" w:hAnsi="" w:eastAsia="" w:cs=""/>
      <w:b w:val="1"/>
      <w:bCs w:val="1"/>
      <w:i w:val="0"/>
      <w:iCs w:val="0"/>
      <w:color w:val="548235"/>
      <w:sz w:val="20"/>
      <w:szCs w:val="20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C423EFB"/>
    <w:rPr>
      <w:rFonts w:ascii="The Serif Hand Black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C423EFB"/>
    <w:rPr>
      <w:rFonts w:ascii="The Hand" w:hAnsi="" w:eastAsia="" w:cs=""/>
      <w:b w:val="0"/>
      <w:bCs w:val="0"/>
      <w:i w:val="0"/>
      <w:iCs w:val="0"/>
      <w:color w:val="548235"/>
      <w:sz w:val="52"/>
      <w:szCs w:val="5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C423EFB"/>
    <w:rPr>
      <w:rFonts w:ascii="Amasis MT Pro Light"/>
      <w:b w:val="0"/>
      <w:bCs w:val="0"/>
      <w:i w:val="1"/>
      <w:iCs w:val="1"/>
      <w:color w:val="404040" w:themeColor="text1" w:themeTint="BF" w:themeShade="FF"/>
      <w:sz w:val="20"/>
      <w:szCs w:val="20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C423EFB"/>
    <w:rPr>
      <w:rFonts w:ascii="Amasis MT Pro Light"/>
      <w:b w:val="0"/>
      <w:bCs w:val="0"/>
      <w:i w:val="1"/>
      <w:iCs w:val="1"/>
      <w:color w:val="4472C4" w:themeColor="accent1" w:themeTint="FF" w:themeShade="FF"/>
      <w:sz w:val="20"/>
      <w:szCs w:val="20"/>
      <w:u w:val="none"/>
    </w:rPr>
  </w:style>
  <w:style w:type="paragraph" w:styleId="TOC1">
    <w:uiPriority w:val="39"/>
    <w:name w:val="toc 1"/>
    <w:basedOn w:val="Normal"/>
    <w:next w:val="Normal"/>
    <w:unhideWhenUsed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100"/>
      <w:jc w:val="both"/>
    </w:pPr>
  </w:style>
  <w:style w:type="paragraph" w:styleId="TOC2">
    <w:uiPriority w:val="39"/>
    <w:name w:val="toc 2"/>
    <w:basedOn w:val="Normal"/>
    <w:next w:val="Normal"/>
    <w:unhideWhenUsed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100"/>
      <w:ind w:left="220"/>
      <w:jc w:val="both"/>
    </w:pPr>
  </w:style>
  <w:style w:type="paragraph" w:styleId="TOC3">
    <w:uiPriority w:val="39"/>
    <w:name w:val="toc 3"/>
    <w:basedOn w:val="Normal"/>
    <w:next w:val="Normal"/>
    <w:unhideWhenUsed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100"/>
      <w:ind w:left="440"/>
      <w:jc w:val="both"/>
    </w:pPr>
  </w:style>
  <w:style w:type="paragraph" w:styleId="TOC4">
    <w:uiPriority w:val="39"/>
    <w:name w:val="toc 4"/>
    <w:basedOn w:val="Normal"/>
    <w:next w:val="Normal"/>
    <w:unhideWhenUsed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100"/>
      <w:ind w:left="660"/>
      <w:jc w:val="both"/>
    </w:pPr>
  </w:style>
  <w:style w:type="paragraph" w:styleId="TOC5">
    <w:uiPriority w:val="39"/>
    <w:name w:val="toc 5"/>
    <w:basedOn w:val="Normal"/>
    <w:next w:val="Normal"/>
    <w:unhideWhenUsed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100"/>
      <w:ind w:left="880"/>
      <w:jc w:val="both"/>
    </w:pPr>
  </w:style>
  <w:style w:type="paragraph" w:styleId="TOC6">
    <w:uiPriority w:val="39"/>
    <w:name w:val="toc 6"/>
    <w:basedOn w:val="Normal"/>
    <w:next w:val="Normal"/>
    <w:unhideWhenUsed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100"/>
      <w:ind w:left="1100"/>
      <w:jc w:val="both"/>
    </w:pPr>
  </w:style>
  <w:style w:type="paragraph" w:styleId="TOC7">
    <w:uiPriority w:val="39"/>
    <w:name w:val="toc 7"/>
    <w:basedOn w:val="Normal"/>
    <w:next w:val="Normal"/>
    <w:unhideWhenUsed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100"/>
      <w:ind w:left="1320"/>
      <w:jc w:val="both"/>
    </w:pPr>
  </w:style>
  <w:style w:type="paragraph" w:styleId="TOC8">
    <w:uiPriority w:val="39"/>
    <w:name w:val="toc 8"/>
    <w:basedOn w:val="Normal"/>
    <w:next w:val="Normal"/>
    <w:unhideWhenUsed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100"/>
      <w:ind w:left="1540"/>
      <w:jc w:val="both"/>
    </w:pPr>
  </w:style>
  <w:style w:type="paragraph" w:styleId="TOC9">
    <w:uiPriority w:val="39"/>
    <w:name w:val="toc 9"/>
    <w:basedOn w:val="Normal"/>
    <w:next w:val="Normal"/>
    <w:unhideWhenUsed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100"/>
      <w:ind w:left="1760"/>
      <w:jc w:val="both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0"/>
      <w:jc w:val="both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tabs>
        <w:tab w:val="center" w:leader="none" w:pos="4680"/>
        <w:tab w:val="right" w:leader="none" w:pos="9360"/>
      </w:tabs>
      <w:spacing w:before="0" w:after="0"/>
      <w:jc w:val="both"/>
    </w:pPr>
  </w:style>
  <w:style w:type="character" w:styleId="FooterChar" w:customStyle="true">
    <w:uiPriority w:val="99"/>
    <w:name w:val="Footer Char"/>
    <w:basedOn w:val="DefaultParagraphFont"/>
    <w:link w:val="Footer"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0"/>
      <w:jc w:val="both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tabs>
        <w:tab w:val="center" w:leader="none" w:pos="4680"/>
        <w:tab w:val="right" w:leader="none" w:pos="9360"/>
      </w:tabs>
      <w:spacing w:before="0" w:after="0"/>
      <w:jc w:val="both"/>
    </w:pPr>
  </w:style>
  <w:style w:type="character" w:styleId="HeaderChar" w:customStyle="true">
    <w:uiPriority w:val="99"/>
    <w:name w:val="Header Char"/>
    <w:basedOn w:val="DefaultParagraphFont"/>
    <w:link w:val="Header"/>
    <w:rsid w:val="7C423EF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bb11608c77489e" /><Relationship Type="http://schemas.openxmlformats.org/officeDocument/2006/relationships/image" Target="/media/image2.png" Id="R40b1299403074e37" /><Relationship Type="http://schemas.openxmlformats.org/officeDocument/2006/relationships/image" Target="/media/image3.png" Id="R69df49b1c3cf4786" /><Relationship Type="http://schemas.microsoft.com/office/2020/10/relationships/intelligence" Target="intelligence2.xml" Id="Rd55605c6cbf64bfc" /><Relationship Type="http://schemas.openxmlformats.org/officeDocument/2006/relationships/numbering" Target="numbering.xml" Id="R20649ff42fb44e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2023-10-15T18:03:01.5402471Z</dcterms:created>
  <dcterms:modified xsi:type="dcterms:W3CDTF">2023-10-15T19:04:25.1992759Z</dcterms:modified>
  <dc:creator>Lavinia Burlacu</dc:creator>
  <lastModifiedBy>Lavinia Burlacu</lastModifiedBy>
</coreProperties>
</file>