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RoyalDB</w:t>
      </w:r>
    </w:p>
    <w:p>
      <w:pPr>
        <w:jc w:val="center"/>
      </w:pPr>
      <w:r>
        <w:rPr>
          <w:b/>
          <w:sz w:val="38"/>
        </w:rPr>
        <w:t>Database Implementation and Administration Documentation</w:t>
      </w:r>
    </w:p>
    <w:p/>
    <w:p>
      <w:pPr>
        <w:jc w:val="center"/>
      </w:pPr>
      <w:r>
        <w:rPr>
          <w:b/>
        </w:rPr>
        <w:t>Royal Technology Solutions</w:t>
        <w:br/>
      </w:r>
      <w:r>
        <w:t>CIS421 Database Management</w:t>
        <w:br/>
      </w:r>
      <w:r>
        <w:t>LaVon Thomas</w:t>
        <w:br/>
      </w:r>
      <w:r>
        <w:t>Post University</w:t>
        <w:br/>
      </w:r>
      <w:r>
        <w:t>2026</w:t>
      </w:r>
    </w:p>
    <w:p/>
    <w:p>
      <w:pPr>
        <w:jc w:val="center"/>
      </w:pPr>
      <w:r>
        <w:rPr>
          <w:b/>
        </w:rPr>
        <w:t>Project Status: Implemented and validated in the Royal lab environment</w:t>
      </w:r>
    </w:p>
    <w:p>
      <w:r>
        <w:br w:type="page"/>
      </w:r>
    </w:p>
    <w:p>
      <w:pPr>
        <w:pStyle w:val="Heading1"/>
      </w:pPr>
      <w:r>
        <w:t>1. Executive Summary</w:t>
      </w:r>
    </w:p>
    <w:p>
      <w:r>
        <w:t>RoyalDB is a centralized relational database solution designed for Royal Technology Solutions, a fictional mid-size international managed IT services and cybersecurity company. The project was developed to replace fragmented operational information with a structured source of truth for customers, locations, devices, service contracts, support tickets, technicians, and technician assignments.</w:t>
      </w:r>
    </w:p>
    <w:p>
      <w:r>
        <w:t>The project progressed from business requirements and conceptual modeling through physical implementation in PostgreSQL 18 on the DB01 Windows Server 2025 system. The completed lab implementation includes seven relational tables, sample operational data, relationship validation, CHECK and foreign-key integrity tests, role-based access control, least-privilege testing, and a verified backup-and-restore workflow.</w:t>
      </w:r>
    </w:p>
    <w:p>
      <w:r>
        <w:t>This document records the architecture, database design, implementation, security model, validation evidence, backup and recovery process, troubleshooting history, maintenance recommendations, and production-readiness considerations.</w:t>
      </w:r>
    </w:p>
    <w:p>
      <w:pPr>
        <w:pStyle w:val="Heading1"/>
      </w:pPr>
      <w:r>
        <w:t>2. Business Background and Need</w:t>
      </w:r>
    </w:p>
    <w:p>
      <w:r>
        <w:t>Royal Technology Solutions supports customer technology environments through managed IT services and cybersecurity operations. As the organization grows, customer, asset, contract, ticket, and technician information can become fragmented across spreadsheets, email, and separate systems. Fragmentation creates risks such as duplicate records, inconsistent information, slower retrieval, limited reporting, and weaker control over sensitive operational data.</w:t>
      </w:r>
    </w:p>
    <w:p>
      <w:r>
        <w:t>RoyalDB addresses this problem by centralizing structured operational information in a relational DBMS. The database is intended to improve consistency, enforce relationships and business rules, support authorized access, and provide a scalable foundation for reporting and future service-management capabilities.</w:t>
      </w:r>
    </w:p>
    <w:p>
      <w:pPr>
        <w:pStyle w:val="Heading1"/>
      </w:pPr>
      <w:r>
        <w:t>3. Requirements and Stakeholders</w:t>
      </w:r>
    </w:p>
    <w:p>
      <w:r>
        <w:t>Requirements were developed around the people and business processes that depend on RoyalDB. Key stakeholders include help-desk personnel, systems and network engineers, cybersecurity staff, account management, management, and authorized database administrators.</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9EAF7"/>
          </w:tcPr>
          <w:p>
            <w:r/>
            <w:r>
              <w:rPr>
                <w:rFonts w:ascii="Aptos" w:hAnsi="Aptos"/>
                <w:b/>
                <w:sz w:val="18"/>
              </w:rPr>
              <w:t>Stakeholder</w:t>
            </w:r>
          </w:p>
        </w:tc>
        <w:tc>
          <w:tcPr>
            <w:tcW w:type="dxa" w:w="6912"/>
            <w:vAlign w:val="center"/>
            <w:shd w:fill="D9EAF7"/>
          </w:tcPr>
          <w:p>
            <w:r/>
            <w:r>
              <w:rPr>
                <w:rFonts w:ascii="Aptos" w:hAnsi="Aptos"/>
                <w:b/>
                <w:sz w:val="18"/>
              </w:rPr>
              <w:t>Primary Information Need</w:t>
            </w:r>
          </w:p>
        </w:tc>
      </w:tr>
      <w:tr>
        <w:tc>
          <w:tcPr>
            <w:tcW w:type="dxa" w:w="2448"/>
            <w:vAlign w:val="center"/>
          </w:tcPr>
          <w:p>
            <w:r/>
            <w:r>
              <w:rPr>
                <w:rFonts w:ascii="Aptos" w:hAnsi="Aptos"/>
                <w:b w:val="0"/>
                <w:sz w:val="17"/>
              </w:rPr>
              <w:t>Help desk</w:t>
            </w:r>
          </w:p>
        </w:tc>
        <w:tc>
          <w:tcPr>
            <w:tcW w:type="dxa" w:w="6912"/>
            <w:vAlign w:val="center"/>
          </w:tcPr>
          <w:p>
            <w:r/>
            <w:r>
              <w:rPr>
                <w:rFonts w:ascii="Aptos" w:hAnsi="Aptos"/>
                <w:b w:val="0"/>
                <w:sz w:val="17"/>
              </w:rPr>
              <w:t>Customer, ticket, device, status, and assignment information</w:t>
            </w:r>
          </w:p>
        </w:tc>
      </w:tr>
      <w:tr>
        <w:tc>
          <w:tcPr>
            <w:tcW w:type="dxa" w:w="2448"/>
            <w:vAlign w:val="center"/>
          </w:tcPr>
          <w:p>
            <w:r/>
            <w:r>
              <w:rPr>
                <w:rFonts w:ascii="Aptos" w:hAnsi="Aptos"/>
                <w:b w:val="0"/>
                <w:sz w:val="17"/>
              </w:rPr>
              <w:t>Systems / network engineers</w:t>
            </w:r>
          </w:p>
        </w:tc>
        <w:tc>
          <w:tcPr>
            <w:tcW w:type="dxa" w:w="6912"/>
            <w:vAlign w:val="center"/>
          </w:tcPr>
          <w:p>
            <w:r/>
            <w:r>
              <w:rPr>
                <w:rFonts w:ascii="Aptos" w:hAnsi="Aptos"/>
                <w:b w:val="0"/>
                <w:sz w:val="17"/>
              </w:rPr>
              <w:t>Customer locations, devices, tickets, technical assignments</w:t>
            </w:r>
          </w:p>
        </w:tc>
      </w:tr>
      <w:tr>
        <w:tc>
          <w:tcPr>
            <w:tcW w:type="dxa" w:w="2448"/>
            <w:vAlign w:val="center"/>
          </w:tcPr>
          <w:p>
            <w:r/>
            <w:r>
              <w:rPr>
                <w:rFonts w:ascii="Aptos" w:hAnsi="Aptos"/>
                <w:b w:val="0"/>
                <w:sz w:val="17"/>
              </w:rPr>
              <w:t>Cybersecurity staff</w:t>
            </w:r>
          </w:p>
        </w:tc>
        <w:tc>
          <w:tcPr>
            <w:tcW w:type="dxa" w:w="6912"/>
            <w:vAlign w:val="center"/>
          </w:tcPr>
          <w:p>
            <w:r/>
            <w:r>
              <w:rPr>
                <w:rFonts w:ascii="Aptos" w:hAnsi="Aptos"/>
                <w:b w:val="0"/>
                <w:sz w:val="17"/>
              </w:rPr>
              <w:t>Authorized operational data, security-relevant tickets, controlled access</w:t>
            </w:r>
          </w:p>
        </w:tc>
      </w:tr>
      <w:tr>
        <w:tc>
          <w:tcPr>
            <w:tcW w:type="dxa" w:w="2448"/>
            <w:vAlign w:val="center"/>
          </w:tcPr>
          <w:p>
            <w:r/>
            <w:r>
              <w:rPr>
                <w:rFonts w:ascii="Aptos" w:hAnsi="Aptos"/>
                <w:b w:val="0"/>
                <w:sz w:val="17"/>
              </w:rPr>
              <w:t>Account management</w:t>
            </w:r>
          </w:p>
        </w:tc>
        <w:tc>
          <w:tcPr>
            <w:tcW w:type="dxa" w:w="6912"/>
            <w:vAlign w:val="center"/>
          </w:tcPr>
          <w:p>
            <w:r/>
            <w:r>
              <w:rPr>
                <w:rFonts w:ascii="Aptos" w:hAnsi="Aptos"/>
                <w:b w:val="0"/>
                <w:sz w:val="17"/>
              </w:rPr>
              <w:t>Customer, location, and contract information</w:t>
            </w:r>
          </w:p>
        </w:tc>
      </w:tr>
      <w:tr>
        <w:tc>
          <w:tcPr>
            <w:tcW w:type="dxa" w:w="2448"/>
            <w:vAlign w:val="center"/>
          </w:tcPr>
          <w:p>
            <w:r/>
            <w:r>
              <w:rPr>
                <w:rFonts w:ascii="Aptos" w:hAnsi="Aptos"/>
                <w:b w:val="0"/>
                <w:sz w:val="17"/>
              </w:rPr>
              <w:t>Management</w:t>
            </w:r>
          </w:p>
        </w:tc>
        <w:tc>
          <w:tcPr>
            <w:tcW w:type="dxa" w:w="6912"/>
            <w:vAlign w:val="center"/>
          </w:tcPr>
          <w:p>
            <w:r/>
            <w:r>
              <w:rPr>
                <w:rFonts w:ascii="Aptos" w:hAnsi="Aptos"/>
                <w:b w:val="0"/>
                <w:sz w:val="17"/>
              </w:rPr>
              <w:t>Accurate operational data and reporting</w:t>
            </w:r>
          </w:p>
        </w:tc>
      </w:tr>
      <w:tr>
        <w:tc>
          <w:tcPr>
            <w:tcW w:type="dxa" w:w="2448"/>
            <w:vAlign w:val="center"/>
          </w:tcPr>
          <w:p>
            <w:r/>
            <w:r>
              <w:rPr>
                <w:rFonts w:ascii="Aptos" w:hAnsi="Aptos"/>
                <w:b w:val="0"/>
                <w:sz w:val="17"/>
              </w:rPr>
              <w:t>Database administrators</w:t>
            </w:r>
          </w:p>
        </w:tc>
        <w:tc>
          <w:tcPr>
            <w:tcW w:type="dxa" w:w="6912"/>
            <w:vAlign w:val="center"/>
          </w:tcPr>
          <w:p>
            <w:r/>
            <w:r>
              <w:rPr>
                <w:rFonts w:ascii="Aptos" w:hAnsi="Aptos"/>
                <w:b w:val="0"/>
                <w:sz w:val="17"/>
              </w:rPr>
              <w:t>Schema, security, integrity, backup, recovery, and maintenance</w:t>
            </w:r>
          </w:p>
        </w:tc>
      </w:tr>
    </w:tbl>
    <w:p/>
    <w:p>
      <w:pPr>
        <w:pStyle w:val="Heading1"/>
      </w:pPr>
      <w:r>
        <w:t>4. Minimum Viable Product (MVP)</w:t>
      </w:r>
    </w:p>
    <w:p>
      <w:r>
        <w:t>The MVP focuses on the core information required for daily service operations. It intentionally limits the first implementation to high-value structured data while leaving room for future expansion.</w:t>
      </w:r>
    </w:p>
    <w:p>
      <w:pPr>
        <w:pStyle w:val="ListBullet"/>
      </w:pPr>
      <w:r>
        <w:t>Customer and customer-location management.</w:t>
      </w:r>
    </w:p>
    <w:p>
      <w:pPr>
        <w:pStyle w:val="ListBullet"/>
      </w:pPr>
      <w:r>
        <w:t>IT asset and device tracking.</w:t>
      </w:r>
    </w:p>
    <w:p>
      <w:pPr>
        <w:pStyle w:val="ListBullet"/>
      </w:pPr>
      <w:r>
        <w:t>Service-contract tracking.</w:t>
      </w:r>
    </w:p>
    <w:p>
      <w:pPr>
        <w:pStyle w:val="ListBullet"/>
      </w:pPr>
      <w:r>
        <w:t>Support-ticket creation and status management.</w:t>
      </w:r>
    </w:p>
    <w:p>
      <w:pPr>
        <w:pStyle w:val="ListBullet"/>
      </w:pPr>
      <w:r>
        <w:t>Technician records and technician-to-ticket assignments.</w:t>
      </w:r>
    </w:p>
    <w:p>
      <w:pPr>
        <w:pStyle w:val="ListBullet"/>
      </w:pPr>
      <w:r>
        <w:t>Relationships among customers, locations, devices, contracts, tickets, and technicians.</w:t>
      </w:r>
    </w:p>
    <w:p>
      <w:pPr>
        <w:pStyle w:val="ListBullet"/>
      </w:pPr>
      <w:r>
        <w:t>Authorized operational and management access.</w:t>
      </w:r>
    </w:p>
    <w:p>
      <w:pPr>
        <w:pStyle w:val="Heading1"/>
      </w:pPr>
      <w:r>
        <w:t>5. Data Governance and Business Rules</w:t>
      </w:r>
    </w:p>
    <w:p>
      <w:r>
        <w:t>RoyalDB governance addresses data ownership, quality, consistency, integrity, access, security, retention, backup, auditing, and appropriate use. Controlled values and relational constraints move important governance rules into the database itself.</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D9EAF7"/>
          </w:tcPr>
          <w:p>
            <w:r/>
            <w:r>
              <w:rPr>
                <w:rFonts w:ascii="Aptos" w:hAnsi="Aptos"/>
                <w:b/>
                <w:sz w:val="18"/>
              </w:rPr>
              <w:t>Domain</w:t>
            </w:r>
          </w:p>
        </w:tc>
        <w:tc>
          <w:tcPr>
            <w:tcW w:type="dxa" w:w="6768"/>
            <w:vAlign w:val="center"/>
            <w:shd w:fill="D9EAF7"/>
          </w:tcPr>
          <w:p>
            <w:r/>
            <w:r>
              <w:rPr>
                <w:rFonts w:ascii="Aptos" w:hAnsi="Aptos"/>
                <w:b/>
                <w:sz w:val="18"/>
              </w:rPr>
              <w:t>Controlled Values / Rule</w:t>
            </w:r>
          </w:p>
        </w:tc>
      </w:tr>
      <w:tr>
        <w:tc>
          <w:tcPr>
            <w:tcW w:type="dxa" w:w="2592"/>
            <w:vAlign w:val="center"/>
          </w:tcPr>
          <w:p>
            <w:r/>
            <w:r>
              <w:rPr>
                <w:rFonts w:ascii="Aptos" w:hAnsi="Aptos"/>
                <w:b w:val="0"/>
                <w:sz w:val="17"/>
              </w:rPr>
              <w:t>DeviceStatus</w:t>
            </w:r>
          </w:p>
        </w:tc>
        <w:tc>
          <w:tcPr>
            <w:tcW w:type="dxa" w:w="6768"/>
            <w:vAlign w:val="center"/>
          </w:tcPr>
          <w:p>
            <w:r/>
            <w:r>
              <w:rPr>
                <w:rFonts w:ascii="Aptos" w:hAnsi="Aptos"/>
                <w:b w:val="0"/>
                <w:sz w:val="17"/>
              </w:rPr>
              <w:t>Active, Inactive, Maintenance, Retired</w:t>
            </w:r>
          </w:p>
        </w:tc>
      </w:tr>
      <w:tr>
        <w:tc>
          <w:tcPr>
            <w:tcW w:type="dxa" w:w="2592"/>
            <w:vAlign w:val="center"/>
          </w:tcPr>
          <w:p>
            <w:r/>
            <w:r>
              <w:rPr>
                <w:rFonts w:ascii="Aptos" w:hAnsi="Aptos"/>
                <w:b w:val="0"/>
                <w:sz w:val="17"/>
              </w:rPr>
              <w:t>ContractStatus</w:t>
            </w:r>
          </w:p>
        </w:tc>
        <w:tc>
          <w:tcPr>
            <w:tcW w:type="dxa" w:w="6768"/>
            <w:vAlign w:val="center"/>
          </w:tcPr>
          <w:p>
            <w:r/>
            <w:r>
              <w:rPr>
                <w:rFonts w:ascii="Aptos" w:hAnsi="Aptos"/>
                <w:b w:val="0"/>
                <w:sz w:val="17"/>
              </w:rPr>
              <w:t>Active, Pending, Expired, Terminated</w:t>
            </w:r>
          </w:p>
        </w:tc>
      </w:tr>
      <w:tr>
        <w:tc>
          <w:tcPr>
            <w:tcW w:type="dxa" w:w="2592"/>
            <w:vAlign w:val="center"/>
          </w:tcPr>
          <w:p>
            <w:r/>
            <w:r>
              <w:rPr>
                <w:rFonts w:ascii="Aptos" w:hAnsi="Aptos"/>
                <w:b w:val="0"/>
                <w:sz w:val="17"/>
              </w:rPr>
              <w:t>ServiceLevel</w:t>
            </w:r>
          </w:p>
        </w:tc>
        <w:tc>
          <w:tcPr>
            <w:tcW w:type="dxa" w:w="6768"/>
            <w:vAlign w:val="center"/>
          </w:tcPr>
          <w:p>
            <w:r/>
            <w:r>
              <w:rPr>
                <w:rFonts w:ascii="Aptos" w:hAnsi="Aptos"/>
                <w:b w:val="0"/>
                <w:sz w:val="17"/>
              </w:rPr>
              <w:t>Standard, Priority, Premium</w:t>
            </w:r>
          </w:p>
        </w:tc>
      </w:tr>
      <w:tr>
        <w:tc>
          <w:tcPr>
            <w:tcW w:type="dxa" w:w="2592"/>
            <w:vAlign w:val="center"/>
          </w:tcPr>
          <w:p>
            <w:r/>
            <w:r>
              <w:rPr>
                <w:rFonts w:ascii="Aptos" w:hAnsi="Aptos"/>
                <w:b w:val="0"/>
                <w:sz w:val="17"/>
              </w:rPr>
              <w:t>Ticket Priority</w:t>
            </w:r>
          </w:p>
        </w:tc>
        <w:tc>
          <w:tcPr>
            <w:tcW w:type="dxa" w:w="6768"/>
            <w:vAlign w:val="center"/>
          </w:tcPr>
          <w:p>
            <w:r/>
            <w:r>
              <w:rPr>
                <w:rFonts w:ascii="Aptos" w:hAnsi="Aptos"/>
                <w:b w:val="0"/>
                <w:sz w:val="17"/>
              </w:rPr>
              <w:t>Low, Medium, High, Critical</w:t>
            </w:r>
          </w:p>
        </w:tc>
      </w:tr>
      <w:tr>
        <w:tc>
          <w:tcPr>
            <w:tcW w:type="dxa" w:w="2592"/>
            <w:vAlign w:val="center"/>
          </w:tcPr>
          <w:p>
            <w:r/>
            <w:r>
              <w:rPr>
                <w:rFonts w:ascii="Aptos" w:hAnsi="Aptos"/>
                <w:b w:val="0"/>
                <w:sz w:val="17"/>
              </w:rPr>
              <w:t>TicketStatus</w:t>
            </w:r>
          </w:p>
        </w:tc>
        <w:tc>
          <w:tcPr>
            <w:tcW w:type="dxa" w:w="6768"/>
            <w:vAlign w:val="center"/>
          </w:tcPr>
          <w:p>
            <w:r/>
            <w:r>
              <w:rPr>
                <w:rFonts w:ascii="Aptos" w:hAnsi="Aptos"/>
                <w:b w:val="0"/>
                <w:sz w:val="17"/>
              </w:rPr>
              <w:t>New, Open, In Progress, Pending, Resolved, Closed</w:t>
            </w:r>
          </w:p>
        </w:tc>
      </w:tr>
      <w:tr>
        <w:tc>
          <w:tcPr>
            <w:tcW w:type="dxa" w:w="2592"/>
            <w:vAlign w:val="center"/>
          </w:tcPr>
          <w:p>
            <w:r/>
            <w:r>
              <w:rPr>
                <w:rFonts w:ascii="Aptos" w:hAnsi="Aptos"/>
                <w:b w:val="0"/>
                <w:sz w:val="17"/>
              </w:rPr>
              <w:t>SkillLevel</w:t>
            </w:r>
          </w:p>
        </w:tc>
        <w:tc>
          <w:tcPr>
            <w:tcW w:type="dxa" w:w="6768"/>
            <w:vAlign w:val="center"/>
          </w:tcPr>
          <w:p>
            <w:r/>
            <w:r>
              <w:rPr>
                <w:rFonts w:ascii="Aptos" w:hAnsi="Aptos"/>
                <w:b w:val="0"/>
                <w:sz w:val="17"/>
              </w:rPr>
              <w:t>Level 1, Level 2, Level 3, Specialist</w:t>
            </w:r>
          </w:p>
        </w:tc>
      </w:tr>
      <w:tr>
        <w:tc>
          <w:tcPr>
            <w:tcW w:type="dxa" w:w="2592"/>
            <w:vAlign w:val="center"/>
          </w:tcPr>
          <w:p>
            <w:r/>
            <w:r>
              <w:rPr>
                <w:rFonts w:ascii="Aptos" w:hAnsi="Aptos"/>
                <w:b w:val="0"/>
                <w:sz w:val="17"/>
              </w:rPr>
              <w:t>TechnicianStatus</w:t>
            </w:r>
          </w:p>
        </w:tc>
        <w:tc>
          <w:tcPr>
            <w:tcW w:type="dxa" w:w="6768"/>
            <w:vAlign w:val="center"/>
          </w:tcPr>
          <w:p>
            <w:r/>
            <w:r>
              <w:rPr>
                <w:rFonts w:ascii="Aptos" w:hAnsi="Aptos"/>
                <w:b w:val="0"/>
                <w:sz w:val="17"/>
              </w:rPr>
              <w:t>Active, Inactive, Leave</w:t>
            </w:r>
          </w:p>
        </w:tc>
      </w:tr>
      <w:tr>
        <w:tc>
          <w:tcPr>
            <w:tcW w:type="dxa" w:w="2592"/>
            <w:vAlign w:val="center"/>
          </w:tcPr>
          <w:p>
            <w:r/>
            <w:r>
              <w:rPr>
                <w:rFonts w:ascii="Aptos" w:hAnsi="Aptos"/>
                <w:b w:val="0"/>
                <w:sz w:val="17"/>
              </w:rPr>
              <w:t>AssignmentStatus</w:t>
            </w:r>
          </w:p>
        </w:tc>
        <w:tc>
          <w:tcPr>
            <w:tcW w:type="dxa" w:w="6768"/>
            <w:vAlign w:val="center"/>
          </w:tcPr>
          <w:p>
            <w:r/>
            <w:r>
              <w:rPr>
                <w:rFonts w:ascii="Aptos" w:hAnsi="Aptos"/>
                <w:b w:val="0"/>
                <w:sz w:val="17"/>
              </w:rPr>
              <w:t>Assigned, In Progress, Completed, Escalated</w:t>
            </w:r>
          </w:p>
        </w:tc>
      </w:tr>
      <w:tr>
        <w:tc>
          <w:tcPr>
            <w:tcW w:type="dxa" w:w="2592"/>
            <w:vAlign w:val="center"/>
          </w:tcPr>
          <w:p>
            <w:r/>
            <w:r>
              <w:rPr>
                <w:rFonts w:ascii="Aptos" w:hAnsi="Aptos"/>
                <w:b w:val="0"/>
                <w:sz w:val="17"/>
              </w:rPr>
              <w:t>Date integrity</w:t>
            </w:r>
          </w:p>
        </w:tc>
        <w:tc>
          <w:tcPr>
            <w:tcW w:type="dxa" w:w="6768"/>
            <w:vAlign w:val="center"/>
          </w:tcPr>
          <w:p>
            <w:r/>
            <w:r>
              <w:rPr>
                <w:rFonts w:ascii="Aptos" w:hAnsi="Aptos"/>
                <w:b w:val="0"/>
                <w:sz w:val="17"/>
              </w:rPr>
              <w:t>Contract end date cannot precede start date; ticket resolution/closure dates cannot precede creation.</w:t>
            </w:r>
          </w:p>
        </w:tc>
      </w:tr>
      <w:tr>
        <w:tc>
          <w:tcPr>
            <w:tcW w:type="dxa" w:w="2592"/>
            <w:vAlign w:val="center"/>
          </w:tcPr>
          <w:p>
            <w:r/>
            <w:r>
              <w:rPr>
                <w:rFonts w:ascii="Aptos" w:hAnsi="Aptos"/>
                <w:b w:val="0"/>
                <w:sz w:val="17"/>
              </w:rPr>
              <w:t>Referential integrity</w:t>
            </w:r>
          </w:p>
        </w:tc>
        <w:tc>
          <w:tcPr>
            <w:tcW w:type="dxa" w:w="6768"/>
            <w:vAlign w:val="center"/>
          </w:tcPr>
          <w:p>
            <w:r/>
            <w:r>
              <w:rPr>
                <w:rFonts w:ascii="Aptos" w:hAnsi="Aptos"/>
                <w:b w:val="0"/>
                <w:sz w:val="17"/>
              </w:rPr>
              <w:t>Required parent records must exist; parent deletion is restricted/handled rather than blindly cascaded.</w:t>
            </w:r>
          </w:p>
        </w:tc>
      </w:tr>
    </w:tbl>
    <w:p/>
    <w:p>
      <w:pPr>
        <w:pStyle w:val="Heading1"/>
      </w:pPr>
      <w:r>
        <w:t>6. Logical Data Model</w:t>
      </w:r>
    </w:p>
    <w:p>
      <w:r>
        <w:t>RoyalDB contains seven core entities. Surrogate primary keys are used for the core entities, and foreign keys establish the required relationships. The Ticket Assignment entity resolves the many-to-many relationship between Ticket and Technician.</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D9EAF7"/>
          </w:tcPr>
          <w:p>
            <w:r/>
            <w:r>
              <w:rPr>
                <w:rFonts w:ascii="Aptos" w:hAnsi="Aptos"/>
                <w:b/>
                <w:sz w:val="18"/>
              </w:rPr>
              <w:t>Entity</w:t>
            </w:r>
          </w:p>
        </w:tc>
        <w:tc>
          <w:tcPr>
            <w:tcW w:type="dxa" w:w="2016"/>
            <w:vAlign w:val="center"/>
            <w:shd w:fill="D9EAF7"/>
          </w:tcPr>
          <w:p>
            <w:r/>
            <w:r>
              <w:rPr>
                <w:rFonts w:ascii="Aptos" w:hAnsi="Aptos"/>
                <w:b/>
                <w:sz w:val="18"/>
              </w:rPr>
              <w:t>Primary Key</w:t>
            </w:r>
          </w:p>
        </w:tc>
        <w:tc>
          <w:tcPr>
            <w:tcW w:type="dxa" w:w="5040"/>
            <w:vAlign w:val="center"/>
            <w:shd w:fill="D9EAF7"/>
          </w:tcPr>
          <w:p>
            <w:r/>
            <w:r>
              <w:rPr>
                <w:rFonts w:ascii="Aptos" w:hAnsi="Aptos"/>
                <w:b/>
                <w:sz w:val="18"/>
              </w:rPr>
              <w:t>Purpose</w:t>
            </w:r>
          </w:p>
        </w:tc>
      </w:tr>
      <w:tr>
        <w:tc>
          <w:tcPr>
            <w:tcW w:type="dxa" w:w="2304"/>
            <w:vAlign w:val="center"/>
          </w:tcPr>
          <w:p>
            <w:r/>
            <w:r>
              <w:rPr>
                <w:rFonts w:ascii="Aptos" w:hAnsi="Aptos"/>
                <w:b w:val="0"/>
                <w:sz w:val="17"/>
              </w:rPr>
              <w:t>CUSTOMER</w:t>
            </w:r>
          </w:p>
        </w:tc>
        <w:tc>
          <w:tcPr>
            <w:tcW w:type="dxa" w:w="2016"/>
            <w:vAlign w:val="center"/>
          </w:tcPr>
          <w:p>
            <w:r/>
            <w:r>
              <w:rPr>
                <w:rFonts w:ascii="Aptos" w:hAnsi="Aptos"/>
                <w:b w:val="0"/>
                <w:sz w:val="17"/>
              </w:rPr>
              <w:t>CustomerID</w:t>
            </w:r>
          </w:p>
        </w:tc>
        <w:tc>
          <w:tcPr>
            <w:tcW w:type="dxa" w:w="5040"/>
            <w:vAlign w:val="center"/>
          </w:tcPr>
          <w:p>
            <w:r/>
            <w:r>
              <w:rPr>
                <w:rFonts w:ascii="Aptos" w:hAnsi="Aptos"/>
                <w:b w:val="0"/>
                <w:sz w:val="17"/>
              </w:rPr>
              <w:t>Stores customer organizations.</w:t>
            </w:r>
          </w:p>
        </w:tc>
      </w:tr>
      <w:tr>
        <w:tc>
          <w:tcPr>
            <w:tcW w:type="dxa" w:w="2304"/>
            <w:vAlign w:val="center"/>
          </w:tcPr>
          <w:p>
            <w:r/>
            <w:r>
              <w:rPr>
                <w:rFonts w:ascii="Aptos" w:hAnsi="Aptos"/>
                <w:b w:val="0"/>
                <w:sz w:val="17"/>
              </w:rPr>
              <w:t>LOCATION</w:t>
            </w:r>
          </w:p>
        </w:tc>
        <w:tc>
          <w:tcPr>
            <w:tcW w:type="dxa" w:w="2016"/>
            <w:vAlign w:val="center"/>
          </w:tcPr>
          <w:p>
            <w:r/>
            <w:r>
              <w:rPr>
                <w:rFonts w:ascii="Aptos" w:hAnsi="Aptos"/>
                <w:b w:val="0"/>
                <w:sz w:val="17"/>
              </w:rPr>
              <w:t>LocationID</w:t>
            </w:r>
          </w:p>
        </w:tc>
        <w:tc>
          <w:tcPr>
            <w:tcW w:type="dxa" w:w="5040"/>
            <w:vAlign w:val="center"/>
          </w:tcPr>
          <w:p>
            <w:r/>
            <w:r>
              <w:rPr>
                <w:rFonts w:ascii="Aptos" w:hAnsi="Aptos"/>
                <w:b w:val="0"/>
                <w:sz w:val="17"/>
              </w:rPr>
              <w:t>Stores customer sites/locations.</w:t>
            </w:r>
          </w:p>
        </w:tc>
      </w:tr>
      <w:tr>
        <w:tc>
          <w:tcPr>
            <w:tcW w:type="dxa" w:w="2304"/>
            <w:vAlign w:val="center"/>
          </w:tcPr>
          <w:p>
            <w:r/>
            <w:r>
              <w:rPr>
                <w:rFonts w:ascii="Aptos" w:hAnsi="Aptos"/>
                <w:b w:val="0"/>
                <w:sz w:val="17"/>
              </w:rPr>
              <w:t>DEVICE</w:t>
            </w:r>
          </w:p>
        </w:tc>
        <w:tc>
          <w:tcPr>
            <w:tcW w:type="dxa" w:w="2016"/>
            <w:vAlign w:val="center"/>
          </w:tcPr>
          <w:p>
            <w:r/>
            <w:r>
              <w:rPr>
                <w:rFonts w:ascii="Aptos" w:hAnsi="Aptos"/>
                <w:b w:val="0"/>
                <w:sz w:val="17"/>
              </w:rPr>
              <w:t>DeviceID</w:t>
            </w:r>
          </w:p>
        </w:tc>
        <w:tc>
          <w:tcPr>
            <w:tcW w:type="dxa" w:w="5040"/>
            <w:vAlign w:val="center"/>
          </w:tcPr>
          <w:p>
            <w:r/>
            <w:r>
              <w:rPr>
                <w:rFonts w:ascii="Aptos" w:hAnsi="Aptos"/>
                <w:b w:val="0"/>
                <w:sz w:val="17"/>
              </w:rPr>
              <w:t>Stores supported IT assets/devices.</w:t>
            </w:r>
          </w:p>
        </w:tc>
      </w:tr>
      <w:tr>
        <w:tc>
          <w:tcPr>
            <w:tcW w:type="dxa" w:w="2304"/>
            <w:vAlign w:val="center"/>
          </w:tcPr>
          <w:p>
            <w:r/>
            <w:r>
              <w:rPr>
                <w:rFonts w:ascii="Aptos" w:hAnsi="Aptos"/>
                <w:b w:val="0"/>
                <w:sz w:val="17"/>
              </w:rPr>
              <w:t>CONTRACT</w:t>
            </w:r>
          </w:p>
        </w:tc>
        <w:tc>
          <w:tcPr>
            <w:tcW w:type="dxa" w:w="2016"/>
            <w:vAlign w:val="center"/>
          </w:tcPr>
          <w:p>
            <w:r/>
            <w:r>
              <w:rPr>
                <w:rFonts w:ascii="Aptos" w:hAnsi="Aptos"/>
                <w:b w:val="0"/>
                <w:sz w:val="17"/>
              </w:rPr>
              <w:t>ContractID</w:t>
            </w:r>
          </w:p>
        </w:tc>
        <w:tc>
          <w:tcPr>
            <w:tcW w:type="dxa" w:w="5040"/>
            <w:vAlign w:val="center"/>
          </w:tcPr>
          <w:p>
            <w:r/>
            <w:r>
              <w:rPr>
                <w:rFonts w:ascii="Aptos" w:hAnsi="Aptos"/>
                <w:b w:val="0"/>
                <w:sz w:val="17"/>
              </w:rPr>
              <w:t>Stores customer service agreements.</w:t>
            </w:r>
          </w:p>
        </w:tc>
      </w:tr>
      <w:tr>
        <w:tc>
          <w:tcPr>
            <w:tcW w:type="dxa" w:w="2304"/>
            <w:vAlign w:val="center"/>
          </w:tcPr>
          <w:p>
            <w:r/>
            <w:r>
              <w:rPr>
                <w:rFonts w:ascii="Aptos" w:hAnsi="Aptos"/>
                <w:b w:val="0"/>
                <w:sz w:val="17"/>
              </w:rPr>
              <w:t>TICKET</w:t>
            </w:r>
          </w:p>
        </w:tc>
        <w:tc>
          <w:tcPr>
            <w:tcW w:type="dxa" w:w="2016"/>
            <w:vAlign w:val="center"/>
          </w:tcPr>
          <w:p>
            <w:r/>
            <w:r>
              <w:rPr>
                <w:rFonts w:ascii="Aptos" w:hAnsi="Aptos"/>
                <w:b w:val="0"/>
                <w:sz w:val="17"/>
              </w:rPr>
              <w:t>TicketID</w:t>
            </w:r>
          </w:p>
        </w:tc>
        <w:tc>
          <w:tcPr>
            <w:tcW w:type="dxa" w:w="5040"/>
            <w:vAlign w:val="center"/>
          </w:tcPr>
          <w:p>
            <w:r/>
            <w:r>
              <w:rPr>
                <w:rFonts w:ascii="Aptos" w:hAnsi="Aptos"/>
                <w:b w:val="0"/>
                <w:sz w:val="17"/>
              </w:rPr>
              <w:t>Stores support/service requests.</w:t>
            </w:r>
          </w:p>
        </w:tc>
      </w:tr>
      <w:tr>
        <w:tc>
          <w:tcPr>
            <w:tcW w:type="dxa" w:w="2304"/>
            <w:vAlign w:val="center"/>
          </w:tcPr>
          <w:p>
            <w:r/>
            <w:r>
              <w:rPr>
                <w:rFonts w:ascii="Aptos" w:hAnsi="Aptos"/>
                <w:b w:val="0"/>
                <w:sz w:val="17"/>
              </w:rPr>
              <w:t>TECHNICIAN</w:t>
            </w:r>
          </w:p>
        </w:tc>
        <w:tc>
          <w:tcPr>
            <w:tcW w:type="dxa" w:w="2016"/>
            <w:vAlign w:val="center"/>
          </w:tcPr>
          <w:p>
            <w:r/>
            <w:r>
              <w:rPr>
                <w:rFonts w:ascii="Aptos" w:hAnsi="Aptos"/>
                <w:b w:val="0"/>
                <w:sz w:val="17"/>
              </w:rPr>
              <w:t>TechnicianID</w:t>
            </w:r>
          </w:p>
        </w:tc>
        <w:tc>
          <w:tcPr>
            <w:tcW w:type="dxa" w:w="5040"/>
            <w:vAlign w:val="center"/>
          </w:tcPr>
          <w:p>
            <w:r/>
            <w:r>
              <w:rPr>
                <w:rFonts w:ascii="Aptos" w:hAnsi="Aptos"/>
                <w:b w:val="0"/>
                <w:sz w:val="17"/>
              </w:rPr>
              <w:t>Stores technical staff records.</w:t>
            </w:r>
          </w:p>
        </w:tc>
      </w:tr>
      <w:tr>
        <w:tc>
          <w:tcPr>
            <w:tcW w:type="dxa" w:w="2304"/>
            <w:vAlign w:val="center"/>
          </w:tcPr>
          <w:p>
            <w:r/>
            <w:r>
              <w:rPr>
                <w:rFonts w:ascii="Aptos" w:hAnsi="Aptos"/>
                <w:b w:val="0"/>
                <w:sz w:val="17"/>
              </w:rPr>
              <w:t>TICKET_ASSIGNMENT</w:t>
            </w:r>
          </w:p>
        </w:tc>
        <w:tc>
          <w:tcPr>
            <w:tcW w:type="dxa" w:w="2016"/>
            <w:vAlign w:val="center"/>
          </w:tcPr>
          <w:p>
            <w:r/>
            <w:r>
              <w:rPr>
                <w:rFonts w:ascii="Aptos" w:hAnsi="Aptos"/>
                <w:b w:val="0"/>
                <w:sz w:val="17"/>
              </w:rPr>
              <w:t>AssignmentID</w:t>
            </w:r>
          </w:p>
        </w:tc>
        <w:tc>
          <w:tcPr>
            <w:tcW w:type="dxa" w:w="5040"/>
            <w:vAlign w:val="center"/>
          </w:tcPr>
          <w:p>
            <w:r/>
            <w:r>
              <w:rPr>
                <w:rFonts w:ascii="Aptos" w:hAnsi="Aptos"/>
                <w:b w:val="0"/>
                <w:sz w:val="17"/>
              </w:rPr>
              <w:t>Associates technicians with tickets and assignment status/work.</w:t>
            </w:r>
          </w:p>
        </w:tc>
      </w:tr>
    </w:tbl>
    <w:p/>
    <w:p>
      <w:pPr>
        <w:pStyle w:val="Heading1"/>
      </w:pPr>
      <w:r>
        <w:t>7. Relationship and Cardinality Rules</w:t>
      </w:r>
    </w:p>
    <w:p>
      <w:pPr>
        <w:pStyle w:val="ListBullet"/>
      </w:pPr>
      <w:r>
        <w:t>A customer has one or many locations; each location belongs to exactly one customer.</w:t>
      </w:r>
    </w:p>
    <w:p>
      <w:pPr>
        <w:pStyle w:val="ListBullet"/>
      </w:pPr>
      <w:r>
        <w:t>A customer can have zero or many contracts; each contract belongs to exactly one customer.</w:t>
      </w:r>
    </w:p>
    <w:p>
      <w:pPr>
        <w:pStyle w:val="ListBullet"/>
      </w:pPr>
      <w:r>
        <w:t>A location can have zero or many devices; each device belongs to exactly one location.</w:t>
      </w:r>
    </w:p>
    <w:p>
      <w:pPr>
        <w:pStyle w:val="ListBullet"/>
      </w:pPr>
      <w:r>
        <w:t>A customer can have zero or many tickets; each ticket belongs to exactly one customer.</w:t>
      </w:r>
    </w:p>
    <w:p>
      <w:pPr>
        <w:pStyle w:val="ListBullet"/>
      </w:pPr>
      <w:r>
        <w:t>A device can be associated with zero or many tickets; a ticket can reference zero or one device.</w:t>
      </w:r>
    </w:p>
    <w:p>
      <w:pPr>
        <w:pStyle w:val="ListBullet"/>
      </w:pPr>
      <w:r>
        <w:t>A ticket can have zero or many ticket assignments; each assignment belongs to exactly one ticket.</w:t>
      </w:r>
    </w:p>
    <w:p>
      <w:pPr>
        <w:pStyle w:val="ListBullet"/>
      </w:pPr>
      <w:r>
        <w:t>A technician can have zero or many ticket assignments; each assignment belongs to exactly one technician.</w:t>
      </w:r>
    </w:p>
    <w:p>
      <w:pPr>
        <w:pStyle w:val="ListBullet"/>
      </w:pPr>
      <w:r>
        <w:t>Ticket Assignment resolves the many-to-many Ticket-to-Technician relationship.</w:t>
      </w:r>
    </w:p>
    <w:p>
      <w:pPr>
        <w:pStyle w:val="ListBullet"/>
      </w:pPr>
      <w:r>
        <w:t>DeviceID in Ticket is optional so non-device requests such as Microsoft 365 or VPN issues can be recorded.</w:t>
      </w:r>
    </w:p>
    <w:p>
      <w:pPr>
        <w:jc w:val="center"/>
      </w:pPr>
      <w:r>
        <w:drawing>
          <wp:inline xmlns:a="http://schemas.openxmlformats.org/drawingml/2006/main" xmlns:pic="http://schemas.openxmlformats.org/drawingml/2006/picture">
            <wp:extent cx="6035040" cy="3392590"/>
            <wp:docPr id="1" name="Picture 1"/>
            <wp:cNvGraphicFramePr>
              <a:graphicFrameLocks noChangeAspect="1"/>
            </wp:cNvGraphicFramePr>
            <a:graphic>
              <a:graphicData uri="http://schemas.openxmlformats.org/drawingml/2006/picture">
                <pic:pic>
                  <pic:nvPicPr>
                    <pic:cNvPr id="0" name="slide-8.png"/>
                    <pic:cNvPicPr/>
                  </pic:nvPicPr>
                  <pic:blipFill>
                    <a:blip r:embed="rId9"/>
                    <a:stretch>
                      <a:fillRect/>
                    </a:stretch>
                  </pic:blipFill>
                  <pic:spPr>
                    <a:xfrm>
                      <a:off x="0" y="0"/>
                      <a:ext cx="6035040" cy="3392590"/>
                    </a:xfrm>
                    <a:prstGeom prst="rect"/>
                  </pic:spPr>
                </pic:pic>
              </a:graphicData>
            </a:graphic>
          </wp:inline>
        </w:drawing>
      </w:r>
    </w:p>
    <w:p>
      <w:pPr>
        <w:jc w:val="center"/>
      </w:pPr>
      <w:r>
        <w:rPr>
          <w:i/>
          <w:sz w:val="17"/>
        </w:rPr>
        <w:t>Figure 1. RoyalDB Crow's Foot entity relationship model.</w:t>
      </w:r>
    </w:p>
    <w:p>
      <w:pPr>
        <w:pStyle w:val="Heading1"/>
      </w:pPr>
      <w:r>
        <w:t>8. Data Flow</w:t>
      </w:r>
    </w:p>
    <w:p>
      <w:r>
        <w:t>The data-flow model complements the ER model by showing how information moves through Royal Technology Solutions. Customer and contract data, asset information, service requests, technician assignments, and management information interact through a centralized RoyalDB data store.</w:t>
      </w:r>
    </w:p>
    <w:p>
      <w:pPr>
        <w:jc w:val="center"/>
      </w:pPr>
      <w:r>
        <w:drawing>
          <wp:inline xmlns:a="http://schemas.openxmlformats.org/drawingml/2006/main" xmlns:pic="http://schemas.openxmlformats.org/drawingml/2006/picture">
            <wp:extent cx="6035040" cy="3392590"/>
            <wp:docPr id="2" name="Picture 2"/>
            <wp:cNvGraphicFramePr>
              <a:graphicFrameLocks noChangeAspect="1"/>
            </wp:cNvGraphicFramePr>
            <a:graphic>
              <a:graphicData uri="http://schemas.openxmlformats.org/drawingml/2006/picture">
                <pic:pic>
                  <pic:nvPicPr>
                    <pic:cNvPr id="0" name="slide-10.png"/>
                    <pic:cNvPicPr/>
                  </pic:nvPicPr>
                  <pic:blipFill>
                    <a:blip r:embed="rId10"/>
                    <a:stretch>
                      <a:fillRect/>
                    </a:stretch>
                  </pic:blipFill>
                  <pic:spPr>
                    <a:xfrm>
                      <a:off x="0" y="0"/>
                      <a:ext cx="6035040" cy="3392590"/>
                    </a:xfrm>
                    <a:prstGeom prst="rect"/>
                  </pic:spPr>
                </pic:pic>
              </a:graphicData>
            </a:graphic>
          </wp:inline>
        </w:drawing>
      </w:r>
    </w:p>
    <w:p>
      <w:pPr>
        <w:jc w:val="center"/>
      </w:pPr>
      <w:r>
        <w:rPr>
          <w:i/>
          <w:sz w:val="17"/>
        </w:rPr>
        <w:t>Figure 2. RoyalDB Level-1 data flow diagram.</w:t>
      </w:r>
    </w:p>
    <w:p>
      <w:pPr>
        <w:pStyle w:val="Heading1"/>
      </w:pPr>
      <w:r>
        <w:t>9. Physical Environment and Implementation</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D9EAF7"/>
          </w:tcPr>
          <w:p>
            <w:r/>
            <w:r>
              <w:rPr>
                <w:rFonts w:ascii="Aptos" w:hAnsi="Aptos"/>
                <w:b/>
                <w:sz w:val="18"/>
              </w:rPr>
              <w:t>Component</w:t>
            </w:r>
          </w:p>
        </w:tc>
        <w:tc>
          <w:tcPr>
            <w:tcW w:type="dxa" w:w="6192"/>
            <w:vAlign w:val="center"/>
            <w:shd w:fill="D9EAF7"/>
          </w:tcPr>
          <w:p>
            <w:r/>
            <w:r>
              <w:rPr>
                <w:rFonts w:ascii="Aptos" w:hAnsi="Aptos"/>
                <w:b/>
                <w:sz w:val="18"/>
              </w:rPr>
              <w:t>Implemented Configuration</w:t>
            </w:r>
          </w:p>
        </w:tc>
      </w:tr>
      <w:tr>
        <w:tc>
          <w:tcPr>
            <w:tcW w:type="dxa" w:w="3168"/>
            <w:vAlign w:val="center"/>
          </w:tcPr>
          <w:p>
            <w:r/>
            <w:r>
              <w:rPr>
                <w:rFonts w:ascii="Aptos" w:hAnsi="Aptos"/>
                <w:b w:val="0"/>
                <w:sz w:val="17"/>
              </w:rPr>
              <w:t>Server</w:t>
            </w:r>
          </w:p>
        </w:tc>
        <w:tc>
          <w:tcPr>
            <w:tcW w:type="dxa" w:w="6192"/>
            <w:vAlign w:val="center"/>
          </w:tcPr>
          <w:p>
            <w:r/>
            <w:r>
              <w:rPr>
                <w:rFonts w:ascii="Aptos" w:hAnsi="Aptos"/>
                <w:b w:val="0"/>
                <w:sz w:val="17"/>
              </w:rPr>
              <w:t>DB01 - Windows Server 2025</w:t>
            </w:r>
          </w:p>
        </w:tc>
      </w:tr>
      <w:tr>
        <w:tc>
          <w:tcPr>
            <w:tcW w:type="dxa" w:w="3168"/>
            <w:vAlign w:val="center"/>
          </w:tcPr>
          <w:p>
            <w:r/>
            <w:r>
              <w:rPr>
                <w:rFonts w:ascii="Aptos" w:hAnsi="Aptos"/>
                <w:b w:val="0"/>
                <w:sz w:val="17"/>
              </w:rPr>
              <w:t>Domain</w:t>
            </w:r>
          </w:p>
        </w:tc>
        <w:tc>
          <w:tcPr>
            <w:tcW w:type="dxa" w:w="6192"/>
            <w:vAlign w:val="center"/>
          </w:tcPr>
          <w:p>
            <w:r/>
            <w:r>
              <w:rPr>
                <w:rFonts w:ascii="Aptos" w:hAnsi="Aptos"/>
                <w:b w:val="0"/>
                <w:sz w:val="17"/>
              </w:rPr>
              <w:t>Royal1.Local</w:t>
            </w:r>
          </w:p>
        </w:tc>
      </w:tr>
      <w:tr>
        <w:tc>
          <w:tcPr>
            <w:tcW w:type="dxa" w:w="3168"/>
            <w:vAlign w:val="center"/>
          </w:tcPr>
          <w:p>
            <w:r/>
            <w:r>
              <w:rPr>
                <w:rFonts w:ascii="Aptos" w:hAnsi="Aptos"/>
                <w:b w:val="0"/>
                <w:sz w:val="17"/>
              </w:rPr>
              <w:t>Intended DB01 address</w:t>
            </w:r>
          </w:p>
        </w:tc>
        <w:tc>
          <w:tcPr>
            <w:tcW w:type="dxa" w:w="6192"/>
            <w:vAlign w:val="center"/>
          </w:tcPr>
          <w:p>
            <w:r/>
            <w:r>
              <w:rPr>
                <w:rFonts w:ascii="Aptos" w:hAnsi="Aptos"/>
                <w:b w:val="0"/>
                <w:sz w:val="17"/>
              </w:rPr>
              <w:t>192.168.50.32</w:t>
            </w:r>
          </w:p>
        </w:tc>
      </w:tr>
      <w:tr>
        <w:tc>
          <w:tcPr>
            <w:tcW w:type="dxa" w:w="3168"/>
            <w:vAlign w:val="center"/>
          </w:tcPr>
          <w:p>
            <w:r/>
            <w:r>
              <w:rPr>
                <w:rFonts w:ascii="Aptos" w:hAnsi="Aptos"/>
                <w:b w:val="0"/>
                <w:sz w:val="17"/>
              </w:rPr>
              <w:t>DBMS</w:t>
            </w:r>
          </w:p>
        </w:tc>
        <w:tc>
          <w:tcPr>
            <w:tcW w:type="dxa" w:w="6192"/>
            <w:vAlign w:val="center"/>
          </w:tcPr>
          <w:p>
            <w:r/>
            <w:r>
              <w:rPr>
                <w:rFonts w:ascii="Aptos" w:hAnsi="Aptos"/>
                <w:b w:val="0"/>
                <w:sz w:val="17"/>
              </w:rPr>
              <w:t>PostgreSQL 18</w:t>
            </w:r>
          </w:p>
        </w:tc>
      </w:tr>
      <w:tr>
        <w:tc>
          <w:tcPr>
            <w:tcW w:type="dxa" w:w="3168"/>
            <w:vAlign w:val="center"/>
          </w:tcPr>
          <w:p>
            <w:r/>
            <w:r>
              <w:rPr>
                <w:rFonts w:ascii="Aptos" w:hAnsi="Aptos"/>
                <w:b w:val="0"/>
                <w:sz w:val="17"/>
              </w:rPr>
              <w:t>Port</w:t>
            </w:r>
          </w:p>
        </w:tc>
        <w:tc>
          <w:tcPr>
            <w:tcW w:type="dxa" w:w="6192"/>
            <w:vAlign w:val="center"/>
          </w:tcPr>
          <w:p>
            <w:r/>
            <w:r>
              <w:rPr>
                <w:rFonts w:ascii="Aptos" w:hAnsi="Aptos"/>
                <w:b w:val="0"/>
                <w:sz w:val="17"/>
              </w:rPr>
              <w:t>5432</w:t>
            </w:r>
          </w:p>
        </w:tc>
      </w:tr>
      <w:tr>
        <w:tc>
          <w:tcPr>
            <w:tcW w:type="dxa" w:w="3168"/>
            <w:vAlign w:val="center"/>
          </w:tcPr>
          <w:p>
            <w:r/>
            <w:r>
              <w:rPr>
                <w:rFonts w:ascii="Aptos" w:hAnsi="Aptos"/>
                <w:b w:val="0"/>
                <w:sz w:val="17"/>
              </w:rPr>
              <w:t>Database</w:t>
            </w:r>
          </w:p>
        </w:tc>
        <w:tc>
          <w:tcPr>
            <w:tcW w:type="dxa" w:w="6192"/>
            <w:vAlign w:val="center"/>
          </w:tcPr>
          <w:p>
            <w:r/>
            <w:r>
              <w:rPr>
                <w:rFonts w:ascii="Aptos" w:hAnsi="Aptos"/>
                <w:b w:val="0"/>
                <w:sz w:val="17"/>
              </w:rPr>
              <w:t>royaldb</w:t>
            </w:r>
          </w:p>
        </w:tc>
      </w:tr>
      <w:tr>
        <w:tc>
          <w:tcPr>
            <w:tcW w:type="dxa" w:w="3168"/>
            <w:vAlign w:val="center"/>
          </w:tcPr>
          <w:p>
            <w:r/>
            <w:r>
              <w:rPr>
                <w:rFonts w:ascii="Aptos" w:hAnsi="Aptos"/>
                <w:b w:val="0"/>
                <w:sz w:val="17"/>
              </w:rPr>
              <w:t>Schema</w:t>
            </w:r>
          </w:p>
        </w:tc>
        <w:tc>
          <w:tcPr>
            <w:tcW w:type="dxa" w:w="6192"/>
            <w:vAlign w:val="center"/>
          </w:tcPr>
          <w:p>
            <w:r/>
            <w:r>
              <w:rPr>
                <w:rFonts w:ascii="Aptos" w:hAnsi="Aptos"/>
                <w:b w:val="0"/>
                <w:sz w:val="17"/>
              </w:rPr>
              <w:t>public</w:t>
            </w:r>
          </w:p>
        </w:tc>
      </w:tr>
      <w:tr>
        <w:tc>
          <w:tcPr>
            <w:tcW w:type="dxa" w:w="3168"/>
            <w:vAlign w:val="center"/>
          </w:tcPr>
          <w:p>
            <w:r/>
            <w:r>
              <w:rPr>
                <w:rFonts w:ascii="Aptos" w:hAnsi="Aptos"/>
                <w:b w:val="0"/>
                <w:sz w:val="17"/>
              </w:rPr>
              <w:t>Physical naming</w:t>
            </w:r>
          </w:p>
        </w:tc>
        <w:tc>
          <w:tcPr>
            <w:tcW w:type="dxa" w:w="6192"/>
            <w:vAlign w:val="center"/>
          </w:tcPr>
          <w:p>
            <w:r/>
            <w:r>
              <w:rPr>
                <w:rFonts w:ascii="Aptos" w:hAnsi="Aptos"/>
                <w:b w:val="0"/>
                <w:sz w:val="17"/>
              </w:rPr>
              <w:t>snake_case column/table identifiers</w:t>
            </w:r>
          </w:p>
        </w:tc>
      </w:tr>
    </w:tbl>
    <w:p/>
    <w:p>
      <w:r>
        <w:t>The SQL implementation created the planned relational schema and populated it with test data. A schema-verification query confirmed that the public schema contained exactly seven RoyalDB tables.</w:t>
      </w:r>
    </w:p>
    <w:p>
      <w:pPr>
        <w:pStyle w:val="CodeBlock"/>
      </w:pPr>
      <w:r>
        <w:t>SELECT table_name</w:t>
        <w:br/>
        <w:t>FROM information_schema.tables</w:t>
        <w:br/>
        <w:t>WHERE table_schema = 'public'</w:t>
        <w:br/>
        <w:t>ORDER BY table_name;</w:t>
      </w:r>
    </w:p>
    <w:p>
      <w:pPr>
        <w:jc w:val="center"/>
      </w:pPr>
      <w:r>
        <w:drawing>
          <wp:inline xmlns:a="http://schemas.openxmlformats.org/drawingml/2006/main" xmlns:pic="http://schemas.openxmlformats.org/drawingml/2006/picture">
            <wp:extent cx="5943600" cy="2325021"/>
            <wp:docPr id="3" name="Picture 3"/>
            <wp:cNvGraphicFramePr>
              <a:graphicFrameLocks noChangeAspect="1"/>
            </wp:cNvGraphicFramePr>
            <a:graphic>
              <a:graphicData uri="http://schemas.openxmlformats.org/drawingml/2006/picture">
                <pic:pic>
                  <pic:nvPicPr>
                    <pic:cNvPr id="0" name="Capture.PNG"/>
                    <pic:cNvPicPr/>
                  </pic:nvPicPr>
                  <pic:blipFill>
                    <a:blip r:embed="rId11"/>
                    <a:stretch>
                      <a:fillRect/>
                    </a:stretch>
                  </pic:blipFill>
                  <pic:spPr>
                    <a:xfrm>
                      <a:off x="0" y="0"/>
                      <a:ext cx="5943600" cy="2325021"/>
                    </a:xfrm>
                    <a:prstGeom prst="rect"/>
                  </pic:spPr>
                </pic:pic>
              </a:graphicData>
            </a:graphic>
          </wp:inline>
        </w:drawing>
      </w:r>
    </w:p>
    <w:p>
      <w:pPr>
        <w:jc w:val="center"/>
      </w:pPr>
      <w:r>
        <w:rPr>
          <w:i/>
          <w:sz w:val="17"/>
        </w:rPr>
        <w:t>Figure 3. PostgreSQL schema verification showing the seven RoyalDB tables.</w:t>
      </w:r>
    </w:p>
    <w:p>
      <w:pPr>
        <w:pStyle w:val="Heading1"/>
      </w:pPr>
      <w:r>
        <w:t>10. Verified Data Population</w:t>
      </w:r>
    </w:p>
    <w:tbl>
      <w:tblPr>
        <w:tblStyle w:val="TableGrid"/>
        <w:tblW w:type="auto" w:w="0"/>
        <w:jc w:val="center"/>
        <w:tblLook w:firstColumn="1" w:firstRow="1" w:lastColumn="0" w:lastRow="0" w:noHBand="0" w:noVBand="1" w:val="04A0"/>
      </w:tblPr>
      <w:tblGrid>
        <w:gridCol w:w="4896"/>
        <w:gridCol w:w="4896"/>
      </w:tblGrid>
      <w:tr>
        <w:tc>
          <w:tcPr>
            <w:tcW w:type="dxa" w:w="4608"/>
            <w:vAlign w:val="center"/>
            <w:shd w:fill="D9EAF7"/>
          </w:tcPr>
          <w:p>
            <w:r/>
            <w:r>
              <w:rPr>
                <w:rFonts w:ascii="Aptos" w:hAnsi="Aptos"/>
                <w:b/>
                <w:sz w:val="18"/>
              </w:rPr>
              <w:t>Table</w:t>
            </w:r>
          </w:p>
        </w:tc>
        <w:tc>
          <w:tcPr>
            <w:tcW w:type="dxa" w:w="4320"/>
            <w:vAlign w:val="center"/>
            <w:shd w:fill="D9EAF7"/>
          </w:tcPr>
          <w:p>
            <w:r/>
            <w:r>
              <w:rPr>
                <w:rFonts w:ascii="Aptos" w:hAnsi="Aptos"/>
                <w:b/>
                <w:sz w:val="18"/>
              </w:rPr>
              <w:t>Verified Row Count</w:t>
            </w:r>
          </w:p>
        </w:tc>
      </w:tr>
      <w:tr>
        <w:tc>
          <w:tcPr>
            <w:tcW w:type="dxa" w:w="4608"/>
            <w:vAlign w:val="center"/>
          </w:tcPr>
          <w:p>
            <w:r/>
            <w:r>
              <w:rPr>
                <w:rFonts w:ascii="Aptos" w:hAnsi="Aptos"/>
                <w:b w:val="0"/>
                <w:sz w:val="17"/>
              </w:rPr>
              <w:t>customer</w:t>
            </w:r>
          </w:p>
        </w:tc>
        <w:tc>
          <w:tcPr>
            <w:tcW w:type="dxa" w:w="4320"/>
            <w:vAlign w:val="center"/>
          </w:tcPr>
          <w:p>
            <w:r/>
            <w:r>
              <w:rPr>
                <w:rFonts w:ascii="Aptos" w:hAnsi="Aptos"/>
                <w:b w:val="0"/>
                <w:sz w:val="17"/>
              </w:rPr>
              <w:t>3</w:t>
            </w:r>
          </w:p>
        </w:tc>
      </w:tr>
      <w:tr>
        <w:tc>
          <w:tcPr>
            <w:tcW w:type="dxa" w:w="4608"/>
            <w:vAlign w:val="center"/>
          </w:tcPr>
          <w:p>
            <w:r/>
            <w:r>
              <w:rPr>
                <w:rFonts w:ascii="Aptos" w:hAnsi="Aptos"/>
                <w:b w:val="0"/>
                <w:sz w:val="17"/>
              </w:rPr>
              <w:t>location</w:t>
            </w:r>
          </w:p>
        </w:tc>
        <w:tc>
          <w:tcPr>
            <w:tcW w:type="dxa" w:w="4320"/>
            <w:vAlign w:val="center"/>
          </w:tcPr>
          <w:p>
            <w:r/>
            <w:r>
              <w:rPr>
                <w:rFonts w:ascii="Aptos" w:hAnsi="Aptos"/>
                <w:b w:val="0"/>
                <w:sz w:val="17"/>
              </w:rPr>
              <w:t>3</w:t>
            </w:r>
          </w:p>
        </w:tc>
      </w:tr>
      <w:tr>
        <w:tc>
          <w:tcPr>
            <w:tcW w:type="dxa" w:w="4608"/>
            <w:vAlign w:val="center"/>
          </w:tcPr>
          <w:p>
            <w:r/>
            <w:r>
              <w:rPr>
                <w:rFonts w:ascii="Aptos" w:hAnsi="Aptos"/>
                <w:b w:val="0"/>
                <w:sz w:val="17"/>
              </w:rPr>
              <w:t>device</w:t>
            </w:r>
          </w:p>
        </w:tc>
        <w:tc>
          <w:tcPr>
            <w:tcW w:type="dxa" w:w="4320"/>
            <w:vAlign w:val="center"/>
          </w:tcPr>
          <w:p>
            <w:r/>
            <w:r>
              <w:rPr>
                <w:rFonts w:ascii="Aptos" w:hAnsi="Aptos"/>
                <w:b w:val="0"/>
                <w:sz w:val="17"/>
              </w:rPr>
              <w:t>4</w:t>
            </w:r>
          </w:p>
        </w:tc>
      </w:tr>
      <w:tr>
        <w:tc>
          <w:tcPr>
            <w:tcW w:type="dxa" w:w="4608"/>
            <w:vAlign w:val="center"/>
          </w:tcPr>
          <w:p>
            <w:r/>
            <w:r>
              <w:rPr>
                <w:rFonts w:ascii="Aptos" w:hAnsi="Aptos"/>
                <w:b w:val="0"/>
                <w:sz w:val="17"/>
              </w:rPr>
              <w:t>contract</w:t>
            </w:r>
          </w:p>
        </w:tc>
        <w:tc>
          <w:tcPr>
            <w:tcW w:type="dxa" w:w="4320"/>
            <w:vAlign w:val="center"/>
          </w:tcPr>
          <w:p>
            <w:r/>
            <w:r>
              <w:rPr>
                <w:rFonts w:ascii="Aptos" w:hAnsi="Aptos"/>
                <w:b w:val="0"/>
                <w:sz w:val="17"/>
              </w:rPr>
              <w:t>3</w:t>
            </w:r>
          </w:p>
        </w:tc>
      </w:tr>
      <w:tr>
        <w:tc>
          <w:tcPr>
            <w:tcW w:type="dxa" w:w="4608"/>
            <w:vAlign w:val="center"/>
          </w:tcPr>
          <w:p>
            <w:r/>
            <w:r>
              <w:rPr>
                <w:rFonts w:ascii="Aptos" w:hAnsi="Aptos"/>
                <w:b w:val="0"/>
                <w:sz w:val="17"/>
              </w:rPr>
              <w:t>technician</w:t>
            </w:r>
          </w:p>
        </w:tc>
        <w:tc>
          <w:tcPr>
            <w:tcW w:type="dxa" w:w="4320"/>
            <w:vAlign w:val="center"/>
          </w:tcPr>
          <w:p>
            <w:r/>
            <w:r>
              <w:rPr>
                <w:rFonts w:ascii="Aptos" w:hAnsi="Aptos"/>
                <w:b w:val="0"/>
                <w:sz w:val="17"/>
              </w:rPr>
              <w:t>3</w:t>
            </w:r>
          </w:p>
        </w:tc>
      </w:tr>
      <w:tr>
        <w:tc>
          <w:tcPr>
            <w:tcW w:type="dxa" w:w="4608"/>
            <w:vAlign w:val="center"/>
          </w:tcPr>
          <w:p>
            <w:r/>
            <w:r>
              <w:rPr>
                <w:rFonts w:ascii="Aptos" w:hAnsi="Aptos"/>
                <w:b w:val="0"/>
                <w:sz w:val="17"/>
              </w:rPr>
              <w:t>ticket</w:t>
            </w:r>
          </w:p>
        </w:tc>
        <w:tc>
          <w:tcPr>
            <w:tcW w:type="dxa" w:w="4320"/>
            <w:vAlign w:val="center"/>
          </w:tcPr>
          <w:p>
            <w:r/>
            <w:r>
              <w:rPr>
                <w:rFonts w:ascii="Aptos" w:hAnsi="Aptos"/>
                <w:b w:val="0"/>
                <w:sz w:val="17"/>
              </w:rPr>
              <w:t>5</w:t>
            </w:r>
          </w:p>
        </w:tc>
      </w:tr>
      <w:tr>
        <w:tc>
          <w:tcPr>
            <w:tcW w:type="dxa" w:w="4608"/>
            <w:vAlign w:val="center"/>
          </w:tcPr>
          <w:p>
            <w:r/>
            <w:r>
              <w:rPr>
                <w:rFonts w:ascii="Aptos" w:hAnsi="Aptos"/>
                <w:b w:val="0"/>
                <w:sz w:val="17"/>
              </w:rPr>
              <w:t>ticket_assignment</w:t>
            </w:r>
          </w:p>
        </w:tc>
        <w:tc>
          <w:tcPr>
            <w:tcW w:type="dxa" w:w="4320"/>
            <w:vAlign w:val="center"/>
          </w:tcPr>
          <w:p>
            <w:r/>
            <w:r>
              <w:rPr>
                <w:rFonts w:ascii="Aptos" w:hAnsi="Aptos"/>
                <w:b w:val="0"/>
                <w:sz w:val="17"/>
              </w:rPr>
              <w:t>4</w:t>
            </w:r>
          </w:p>
        </w:tc>
      </w:tr>
    </w:tbl>
    <w:p/>
    <w:p>
      <w:r>
        <w:t>These counts were verified in the live RoyalDB database and later verified again after restoring the backup into a separate test database.</w:t>
      </w:r>
    </w:p>
    <w:p>
      <w:pPr>
        <w:pStyle w:val="Heading1"/>
      </w:pPr>
      <w:r>
        <w:t>11. Relational Query Validation</w:t>
      </w:r>
    </w:p>
    <w:p>
      <w:r>
        <w:t>A JOIN query was used to validate the Customer-to-Ticket and optional Device-to-Ticket relationships. The physical PostgreSQL schema uses snake_case identifiers.</w:t>
      </w:r>
    </w:p>
    <w:p>
      <w:pPr>
        <w:pStyle w:val="CodeBlock"/>
      </w:pPr>
      <w:r>
        <w:t>SELECT</w:t>
        <w:br/>
        <w:t xml:space="preserve">    t.ticket_id,</w:t>
        <w:br/>
        <w:t xml:space="preserve">    c.company_name,</w:t>
        <w:br/>
        <w:t xml:space="preserve">    t.ticket_title,</w:t>
        <w:br/>
        <w:t xml:space="preserve">    t.priority,</w:t>
        <w:br/>
        <w:t xml:space="preserve">    t.ticket_status,</w:t>
        <w:br/>
        <w:t xml:space="preserve">    d.device_name</w:t>
        <w:br/>
        <w:t>FROM ticket AS t</w:t>
        <w:br/>
        <w:t>JOIN customer AS c</w:t>
        <w:br/>
        <w:t xml:space="preserve">    ON t.customer_id = c.customer_id</w:t>
        <w:br/>
        <w:t>LEFT JOIN device AS d</w:t>
        <w:br/>
        <w:t xml:space="preserve">    ON t.device_id = d.device_id</w:t>
        <w:br/>
        <w:t>ORDER BY t.ticket_id;</w:t>
      </w:r>
    </w:p>
    <w:p>
      <w:r>
        <w:t>The result returned five tickets. Device-backed tickets displayed a device name, while non-device service requests could return NULL for device_name. This validated the optional Device-to-Ticket relationship.</w:t>
      </w:r>
    </w:p>
    <w:p>
      <w:pPr>
        <w:jc w:val="center"/>
      </w:pPr>
      <w:r>
        <w:drawing>
          <wp:inline xmlns:a="http://schemas.openxmlformats.org/drawingml/2006/main" xmlns:pic="http://schemas.openxmlformats.org/drawingml/2006/picture">
            <wp:extent cx="5943600" cy="2112252"/>
            <wp:docPr id="4" name="Picture 4"/>
            <wp:cNvGraphicFramePr>
              <a:graphicFrameLocks noChangeAspect="1"/>
            </wp:cNvGraphicFramePr>
            <a:graphic>
              <a:graphicData uri="http://schemas.openxmlformats.org/drawingml/2006/picture">
                <pic:pic>
                  <pic:nvPicPr>
                    <pic:cNvPr id="0" name="err fix.PNG"/>
                    <pic:cNvPicPr/>
                  </pic:nvPicPr>
                  <pic:blipFill>
                    <a:blip r:embed="rId12"/>
                    <a:stretch>
                      <a:fillRect/>
                    </a:stretch>
                  </pic:blipFill>
                  <pic:spPr>
                    <a:xfrm>
                      <a:off x="0" y="0"/>
                      <a:ext cx="5943600" cy="2112252"/>
                    </a:xfrm>
                    <a:prstGeom prst="rect"/>
                  </pic:spPr>
                </pic:pic>
              </a:graphicData>
            </a:graphic>
          </wp:inline>
        </w:drawing>
      </w:r>
    </w:p>
    <w:p>
      <w:pPr>
        <w:jc w:val="center"/>
      </w:pPr>
      <w:r>
        <w:rPr>
          <w:i/>
          <w:sz w:val="17"/>
        </w:rPr>
        <w:t>Figure 4. Successful Customer-Ticket-Device JOIN validation.</w:t>
      </w:r>
    </w:p>
    <w:p>
      <w:pPr>
        <w:pStyle w:val="Heading1"/>
      </w:pPr>
      <w:r>
        <w:t>12. Ticket Assignment Bridge Validation</w:t>
      </w:r>
    </w:p>
    <w:p>
      <w:r>
        <w:t>The Ticket Assignment bridge was tested with a multi-table JOIN. Ticket 1 returned two technician assignments, demonstrating that multiple technicians can participate in the same ticket while each technician can also work across multiple tickets.</w:t>
      </w:r>
    </w:p>
    <w:p>
      <w:pPr>
        <w:pStyle w:val="CodeBlock"/>
      </w:pPr>
      <w:r>
        <w:t>SELECT</w:t>
        <w:br/>
        <w:t xml:space="preserve">    t.ticket_id,</w:t>
        <w:br/>
        <w:t xml:space="preserve">    t.ticket_title,</w:t>
        <w:br/>
        <w:t xml:space="preserve">    tech.first_name,</w:t>
        <w:br/>
        <w:t xml:space="preserve">    tech.last_name,</w:t>
        <w:br/>
        <w:t xml:space="preserve">    ta.assignment_role,</w:t>
        <w:br/>
        <w:t xml:space="preserve">    ta.assignment_status,</w:t>
        <w:br/>
        <w:t xml:space="preserve">    ta.hours_worked</w:t>
        <w:br/>
        <w:t>FROM ticket AS t</w:t>
        <w:br/>
        <w:t>JOIN ticket_assignment AS ta</w:t>
        <w:br/>
        <w:t xml:space="preserve">    ON t.ticket_id = ta.ticket_id</w:t>
        <w:br/>
        <w:t>JOIN technician AS tech</w:t>
        <w:br/>
        <w:t xml:space="preserve">    ON ta.technician_id = tech.technician_id</w:t>
        <w:br/>
        <w:t>ORDER BY t.ticket_id, tech.last_name;</w:t>
      </w:r>
    </w:p>
    <w:p>
      <w:pPr>
        <w:pStyle w:val="Heading1"/>
      </w:pPr>
      <w:r>
        <w:t>13. Integrity Testing</w:t>
      </w:r>
    </w:p>
    <w:p>
      <w:pPr>
        <w:pStyle w:val="Heading2"/>
      </w:pPr>
      <w:r>
        <w:t>13.1 CHECK Constraint Test</w:t>
      </w:r>
    </w:p>
    <w:p>
      <w:r>
        <w:t>An attempt was made to insert a ticket with the unsupported priority value Urgent. PostgreSQL rejected the row through the ticket_priority_check constraint (SQLSTATE 23514). No invalid row was inserted.</w:t>
      </w:r>
    </w:p>
    <w:p>
      <w:pPr>
        <w:pStyle w:val="CodeBlock"/>
      </w:pPr>
      <w:r>
        <w:t>INSERT INTO ticket (</w:t>
        <w:br/>
        <w:t xml:space="preserve">    customer_id, device_id, ticket_title, ticket_description,</w:t>
        <w:br/>
        <w:t xml:space="preserve">    priority, ticket_status, created_date</w:t>
        <w:br/>
        <w:t>)</w:t>
        <w:br/>
        <w:t>VALUES (</w:t>
        <w:br/>
        <w:t xml:space="preserve">    1, NULL, 'Invalid Priority Test',</w:t>
        <w:br/>
        <w:t xml:space="preserve">    'This record should be rejected by the database.',</w:t>
        <w:br/>
        <w:t xml:space="preserve">    'Urgent', 'New', CURRENT_TIMESTAMP</w:t>
        <w:br/>
        <w:t>);</w:t>
      </w:r>
    </w:p>
    <w:p>
      <w:pPr>
        <w:jc w:val="center"/>
      </w:pPr>
      <w:r>
        <w:drawing>
          <wp:inline xmlns:a="http://schemas.openxmlformats.org/drawingml/2006/main" xmlns:pic="http://schemas.openxmlformats.org/drawingml/2006/picture">
            <wp:extent cx="5943600" cy="1315700"/>
            <wp:docPr id="5" name="Picture 5"/>
            <wp:cNvGraphicFramePr>
              <a:graphicFrameLocks noChangeAspect="1"/>
            </wp:cNvGraphicFramePr>
            <a:graphic>
              <a:graphicData uri="http://schemas.openxmlformats.org/drawingml/2006/picture">
                <pic:pic>
                  <pic:nvPicPr>
                    <pic:cNvPr id="0" name="2nd error.PNG"/>
                    <pic:cNvPicPr/>
                  </pic:nvPicPr>
                  <pic:blipFill>
                    <a:blip r:embed="rId13"/>
                    <a:stretch>
                      <a:fillRect/>
                    </a:stretch>
                  </pic:blipFill>
                  <pic:spPr>
                    <a:xfrm>
                      <a:off x="0" y="0"/>
                      <a:ext cx="5943600" cy="1315700"/>
                    </a:xfrm>
                    <a:prstGeom prst="rect"/>
                  </pic:spPr>
                </pic:pic>
              </a:graphicData>
            </a:graphic>
          </wp:inline>
        </w:drawing>
      </w:r>
    </w:p>
    <w:p>
      <w:pPr>
        <w:jc w:val="center"/>
      </w:pPr>
      <w:r>
        <w:rPr>
          <w:i/>
          <w:sz w:val="17"/>
        </w:rPr>
        <w:t>Figure 5. CHECK constraint correctly rejecting an invalid ticket priority.</w:t>
      </w:r>
    </w:p>
    <w:p>
      <w:pPr>
        <w:pStyle w:val="Heading2"/>
      </w:pPr>
      <w:r>
        <w:t>13.2 Foreign-Key Test</w:t>
      </w:r>
    </w:p>
    <w:p>
      <w:r>
        <w:t>A second test attempted to create a ticket for customer_id 9999. Because that customer does not exist, PostgreSQL rejected the row through the ticket_customer_id_fkey foreign-key constraint (SQLSTATE 23503).</w:t>
      </w:r>
    </w:p>
    <w:p>
      <w:pPr>
        <w:pStyle w:val="CodeBlock"/>
      </w:pPr>
      <w:r>
        <w:t>INSERT INTO ticket (</w:t>
        <w:br/>
        <w:t xml:space="preserve">    customer_id, device_id, ticket_title, ticket_description,</w:t>
        <w:br/>
        <w:t xml:space="preserve">    priority, ticket_status, created_date</w:t>
        <w:br/>
        <w:t>)</w:t>
        <w:br/>
        <w:t>VALUES (</w:t>
        <w:br/>
        <w:t xml:space="preserve">    9999, NULL, 'Invalid Customer Test',</w:t>
        <w:br/>
        <w:t xml:space="preserve">    'This record should be rejected because the customer does not exist.',</w:t>
        <w:br/>
        <w:t xml:space="preserve">    'High', 'New', CURRENT_TIMESTAMP</w:t>
        <w:br/>
        <w:t>);</w:t>
      </w:r>
    </w:p>
    <w:p>
      <w:pPr>
        <w:jc w:val="center"/>
      </w:pPr>
      <w:r>
        <w:drawing>
          <wp:inline xmlns:a="http://schemas.openxmlformats.org/drawingml/2006/main" xmlns:pic="http://schemas.openxmlformats.org/drawingml/2006/picture">
            <wp:extent cx="5943600" cy="1188720"/>
            <wp:docPr id="6" name="Picture 6"/>
            <wp:cNvGraphicFramePr>
              <a:graphicFrameLocks noChangeAspect="1"/>
            </wp:cNvGraphicFramePr>
            <a:graphic>
              <a:graphicData uri="http://schemas.openxmlformats.org/drawingml/2006/picture">
                <pic:pic>
                  <pic:nvPicPr>
                    <pic:cNvPr id="0" name="2 error 2.PNG"/>
                    <pic:cNvPicPr/>
                  </pic:nvPicPr>
                  <pic:blipFill>
                    <a:blip r:embed="rId14"/>
                    <a:stretch>
                      <a:fillRect/>
                    </a:stretch>
                  </pic:blipFill>
                  <pic:spPr>
                    <a:xfrm>
                      <a:off x="0" y="0"/>
                      <a:ext cx="5943600" cy="1188720"/>
                    </a:xfrm>
                    <a:prstGeom prst="rect"/>
                  </pic:spPr>
                </pic:pic>
              </a:graphicData>
            </a:graphic>
          </wp:inline>
        </w:drawing>
      </w:r>
    </w:p>
    <w:p>
      <w:pPr>
        <w:jc w:val="center"/>
      </w:pPr>
      <w:r>
        <w:rPr>
          <w:i/>
          <w:sz w:val="17"/>
        </w:rPr>
        <w:t>Figure 6. Foreign-key constraint correctly rejecting a nonexistent customer.</w:t>
      </w:r>
    </w:p>
    <w:p>
      <w:pPr>
        <w:pStyle w:val="Heading1"/>
      </w:pPr>
      <w:r>
        <w:t>14. Role-Based Access Control (RBAC)</w:t>
      </w:r>
    </w:p>
    <w:p>
      <w:r>
        <w:t>RoyalDB implements least privilege through PostgreSQL group roles and login users. The group roles are non-login roles; login users receive permissions through role membership.</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r/>
            <w:r>
              <w:rPr>
                <w:rFonts w:ascii="Aptos" w:hAnsi="Aptos"/>
                <w:b/>
                <w:sz w:val="18"/>
              </w:rPr>
              <w:t>Group Role</w:t>
            </w:r>
          </w:p>
        </w:tc>
        <w:tc>
          <w:tcPr>
            <w:tcW w:type="dxa" w:w="6480"/>
            <w:vAlign w:val="center"/>
            <w:shd w:fill="D9EAF7"/>
          </w:tcPr>
          <w:p>
            <w:r/>
            <w:r>
              <w:rPr>
                <w:rFonts w:ascii="Aptos" w:hAnsi="Aptos"/>
                <w:b/>
                <w:sz w:val="18"/>
              </w:rPr>
              <w:t>Intended Access</w:t>
            </w:r>
          </w:p>
        </w:tc>
      </w:tr>
      <w:tr>
        <w:tc>
          <w:tcPr>
            <w:tcW w:type="dxa" w:w="2880"/>
            <w:vAlign w:val="center"/>
          </w:tcPr>
          <w:p>
            <w:r/>
            <w:r>
              <w:rPr>
                <w:rFonts w:ascii="Aptos" w:hAnsi="Aptos"/>
                <w:b w:val="0"/>
                <w:sz w:val="17"/>
              </w:rPr>
              <w:t>royaldb_dba</w:t>
            </w:r>
          </w:p>
        </w:tc>
        <w:tc>
          <w:tcPr>
            <w:tcW w:type="dxa" w:w="6480"/>
            <w:vAlign w:val="center"/>
          </w:tcPr>
          <w:p>
            <w:r/>
            <w:r>
              <w:rPr>
                <w:rFonts w:ascii="Aptos" w:hAnsi="Aptos"/>
                <w:b w:val="0"/>
                <w:sz w:val="17"/>
              </w:rPr>
              <w:t>Full privileges on RoyalDB tables and sequences for database administration.</w:t>
            </w:r>
          </w:p>
        </w:tc>
      </w:tr>
      <w:tr>
        <w:tc>
          <w:tcPr>
            <w:tcW w:type="dxa" w:w="2880"/>
            <w:vAlign w:val="center"/>
          </w:tcPr>
          <w:p>
            <w:r/>
            <w:r>
              <w:rPr>
                <w:rFonts w:ascii="Aptos" w:hAnsi="Aptos"/>
                <w:b w:val="0"/>
                <w:sz w:val="17"/>
              </w:rPr>
              <w:t>royaldb_tech</w:t>
            </w:r>
          </w:p>
        </w:tc>
        <w:tc>
          <w:tcPr>
            <w:tcW w:type="dxa" w:w="6480"/>
            <w:vAlign w:val="center"/>
          </w:tcPr>
          <w:p>
            <w:r/>
            <w:r>
              <w:rPr>
                <w:rFonts w:ascii="Aptos" w:hAnsi="Aptos"/>
                <w:b w:val="0"/>
                <w:sz w:val="17"/>
              </w:rPr>
              <w:t>SELECT on tables; INSERT/UPDATE on ticket and ticket_assignment; sequence usage as needed.</w:t>
            </w:r>
          </w:p>
        </w:tc>
      </w:tr>
      <w:tr>
        <w:tc>
          <w:tcPr>
            <w:tcW w:type="dxa" w:w="2880"/>
            <w:vAlign w:val="center"/>
          </w:tcPr>
          <w:p>
            <w:r/>
            <w:r>
              <w:rPr>
                <w:rFonts w:ascii="Aptos" w:hAnsi="Aptos"/>
                <w:b w:val="0"/>
                <w:sz w:val="17"/>
              </w:rPr>
              <w:t>royaldb_readonly</w:t>
            </w:r>
          </w:p>
        </w:tc>
        <w:tc>
          <w:tcPr>
            <w:tcW w:type="dxa" w:w="6480"/>
            <w:vAlign w:val="center"/>
          </w:tcPr>
          <w:p>
            <w:r/>
            <w:r>
              <w:rPr>
                <w:rFonts w:ascii="Aptos" w:hAnsi="Aptos"/>
                <w:b w:val="0"/>
                <w:sz w:val="17"/>
              </w:rPr>
              <w:t>SELECT-only access to RoyalDB tables.</w:t>
            </w:r>
          </w:p>
        </w:tc>
      </w:tr>
    </w:tbl>
    <w:p/>
    <w:p>
      <w:pPr>
        <w:pStyle w:val="CodeBlock"/>
      </w:pPr>
      <w:r>
        <w:t>CREATE ROLE royaldb_dba NOLOGIN;</w:t>
        <w:br/>
        <w:t>CREATE ROLE royaldb_tech NOLOGIN;</w:t>
        <w:br/>
        <w:t>CREATE ROLE royaldb_readonly NOLOGIN;</w:t>
        <w:br/>
        <w:br/>
        <w:t>GRANT CONNECT ON DATABASE royaldb</w:t>
        <w:br/>
        <w:t>TO royaldb_dba, royaldb_tech, royaldb_readonly;</w:t>
        <w:br/>
        <w:br/>
        <w:t>GRANT USAGE ON SCHEMA public</w:t>
        <w:br/>
        <w:t>TO royaldb_dba, royaldb_tech, royaldb_readonly;</w:t>
        <w:br/>
        <w:br/>
        <w:t>GRANT ALL PRIVILEGES ON ALL TABLES IN SCHEMA public TO royaldb_dba;</w:t>
        <w:br/>
        <w:t>GRANT ALL PRIVILEGES ON ALL SEQUENCES IN SCHEMA public TO royaldb_dba;</w:t>
        <w:br/>
        <w:br/>
        <w:t>GRANT SELECT ON ALL TABLES IN SCHEMA public TO royaldb_tech;</w:t>
        <w:br/>
        <w:t>GRANT INSERT, UPDATE ON ticket, ticket_assignment TO royaldb_tech;</w:t>
        <w:br/>
        <w:t>GRANT USAGE, SELECT ON ALL SEQUENCES IN SCHEMA public TO royaldb_tech;</w:t>
        <w:br/>
        <w:br/>
        <w:t>GRANT SELECT ON ALL TABLES IN SCHEMA public TO royaldb_readonly;</w:t>
      </w:r>
    </w:p>
    <w:p>
      <w:r>
        <w:t>Login users were created for DBA, technician, and read-only testing and assigned to the corresponding group roles. Passwords are intentionally excluded from this documentation.</w:t>
      </w:r>
    </w:p>
    <w:p>
      <w:pPr>
        <w:jc w:val="center"/>
      </w:pPr>
      <w:r>
        <w:drawing>
          <wp:inline xmlns:a="http://schemas.openxmlformats.org/drawingml/2006/main" xmlns:pic="http://schemas.openxmlformats.org/drawingml/2006/picture">
            <wp:extent cx="5943600" cy="2897629"/>
            <wp:docPr id="7" name="Picture 7"/>
            <wp:cNvGraphicFramePr>
              <a:graphicFrameLocks noChangeAspect="1"/>
            </wp:cNvGraphicFramePr>
            <a:graphic>
              <a:graphicData uri="http://schemas.openxmlformats.org/drawingml/2006/picture">
                <pic:pic>
                  <pic:nvPicPr>
                    <pic:cNvPr id="0" name="Capture 5.PNG"/>
                    <pic:cNvPicPr/>
                  </pic:nvPicPr>
                  <pic:blipFill>
                    <a:blip r:embed="rId15"/>
                    <a:stretch>
                      <a:fillRect/>
                    </a:stretch>
                  </pic:blipFill>
                  <pic:spPr>
                    <a:xfrm>
                      <a:off x="0" y="0"/>
                      <a:ext cx="5943600" cy="2897629"/>
                    </a:xfrm>
                    <a:prstGeom prst="rect"/>
                  </pic:spPr>
                </pic:pic>
              </a:graphicData>
            </a:graphic>
          </wp:inline>
        </w:drawing>
      </w:r>
    </w:p>
    <w:p>
      <w:pPr>
        <w:jc w:val="center"/>
      </w:pPr>
      <w:r>
        <w:rPr>
          <w:i/>
          <w:sz w:val="17"/>
        </w:rPr>
        <w:t>Figure 7. PostgreSQL role membership used for RoyalDB access control.</w:t>
      </w:r>
    </w:p>
    <w:p>
      <w:pPr>
        <w:pStyle w:val="Heading1"/>
      </w:pPr>
      <w:r>
        <w:t>15. Least-Privilege Validation</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shd w:fill="D9EAF7"/>
          </w:tcPr>
          <w:p>
            <w:r/>
            <w:r>
              <w:rPr>
                <w:rFonts w:ascii="Aptos" w:hAnsi="Aptos"/>
                <w:b/>
                <w:sz w:val="18"/>
              </w:rPr>
              <w:t>Test Context</w:t>
            </w:r>
          </w:p>
        </w:tc>
        <w:tc>
          <w:tcPr>
            <w:tcW w:type="dxa" w:w="3168"/>
            <w:vAlign w:val="center"/>
            <w:shd w:fill="D9EAF7"/>
          </w:tcPr>
          <w:p>
            <w:r/>
            <w:r>
              <w:rPr>
                <w:rFonts w:ascii="Aptos" w:hAnsi="Aptos"/>
                <w:b/>
                <w:sz w:val="18"/>
              </w:rPr>
              <w:t>Operation</w:t>
            </w:r>
          </w:p>
        </w:tc>
        <w:tc>
          <w:tcPr>
            <w:tcW w:type="dxa" w:w="3024"/>
            <w:vAlign w:val="center"/>
            <w:shd w:fill="D9EAF7"/>
          </w:tcPr>
          <w:p>
            <w:r/>
            <w:r>
              <w:rPr>
                <w:rFonts w:ascii="Aptos" w:hAnsi="Aptos"/>
                <w:b/>
                <w:sz w:val="18"/>
              </w:rPr>
              <w:t>Result</w:t>
            </w:r>
          </w:p>
        </w:tc>
      </w:tr>
      <w:tr>
        <w:tc>
          <w:tcPr>
            <w:tcW w:type="dxa" w:w="2880"/>
            <w:vAlign w:val="center"/>
          </w:tcPr>
          <w:p>
            <w:r/>
            <w:r>
              <w:rPr>
                <w:rFonts w:ascii="Aptos" w:hAnsi="Aptos"/>
                <w:b w:val="0"/>
                <w:sz w:val="17"/>
              </w:rPr>
              <w:t>Read-only user</w:t>
            </w:r>
          </w:p>
        </w:tc>
        <w:tc>
          <w:tcPr>
            <w:tcW w:type="dxa" w:w="3168"/>
            <w:vAlign w:val="center"/>
          </w:tcPr>
          <w:p>
            <w:r/>
            <w:r>
              <w:rPr>
                <w:rFonts w:ascii="Aptos" w:hAnsi="Aptos"/>
                <w:b w:val="0"/>
                <w:sz w:val="17"/>
              </w:rPr>
              <w:t>SELECT from ticket</w:t>
            </w:r>
          </w:p>
        </w:tc>
        <w:tc>
          <w:tcPr>
            <w:tcW w:type="dxa" w:w="3024"/>
            <w:vAlign w:val="center"/>
          </w:tcPr>
          <w:p>
            <w:r/>
            <w:r>
              <w:rPr>
                <w:rFonts w:ascii="Aptos" w:hAnsi="Aptos"/>
                <w:b w:val="0"/>
                <w:sz w:val="17"/>
              </w:rPr>
              <w:t>Allowed</w:t>
            </w:r>
          </w:p>
        </w:tc>
      </w:tr>
      <w:tr>
        <w:tc>
          <w:tcPr>
            <w:tcW w:type="dxa" w:w="2880"/>
            <w:vAlign w:val="center"/>
          </w:tcPr>
          <w:p>
            <w:r/>
            <w:r>
              <w:rPr>
                <w:rFonts w:ascii="Aptos" w:hAnsi="Aptos"/>
                <w:b w:val="0"/>
                <w:sz w:val="17"/>
              </w:rPr>
              <w:t>Read-only user</w:t>
            </w:r>
          </w:p>
        </w:tc>
        <w:tc>
          <w:tcPr>
            <w:tcW w:type="dxa" w:w="3168"/>
            <w:vAlign w:val="center"/>
          </w:tcPr>
          <w:p>
            <w:r/>
            <w:r>
              <w:rPr>
                <w:rFonts w:ascii="Aptos" w:hAnsi="Aptos"/>
                <w:b w:val="0"/>
                <w:sz w:val="17"/>
              </w:rPr>
              <w:t>UPDATE ticket</w:t>
            </w:r>
          </w:p>
        </w:tc>
        <w:tc>
          <w:tcPr>
            <w:tcW w:type="dxa" w:w="3024"/>
            <w:vAlign w:val="center"/>
          </w:tcPr>
          <w:p>
            <w:r/>
            <w:r>
              <w:rPr>
                <w:rFonts w:ascii="Aptos" w:hAnsi="Aptos"/>
                <w:b w:val="0"/>
                <w:sz w:val="17"/>
              </w:rPr>
              <w:t>Denied</w:t>
            </w:r>
          </w:p>
        </w:tc>
      </w:tr>
      <w:tr>
        <w:tc>
          <w:tcPr>
            <w:tcW w:type="dxa" w:w="2880"/>
            <w:vAlign w:val="center"/>
          </w:tcPr>
          <w:p>
            <w:r/>
            <w:r>
              <w:rPr>
                <w:rFonts w:ascii="Aptos" w:hAnsi="Aptos"/>
                <w:b w:val="0"/>
                <w:sz w:val="17"/>
              </w:rPr>
              <w:t>Technician user</w:t>
            </w:r>
          </w:p>
        </w:tc>
        <w:tc>
          <w:tcPr>
            <w:tcW w:type="dxa" w:w="3168"/>
            <w:vAlign w:val="center"/>
          </w:tcPr>
          <w:p>
            <w:r/>
            <w:r>
              <w:rPr>
                <w:rFonts w:ascii="Aptos" w:hAnsi="Aptos"/>
                <w:b w:val="0"/>
                <w:sz w:val="17"/>
              </w:rPr>
              <w:t>UPDATE ticket</w:t>
            </w:r>
          </w:p>
        </w:tc>
        <w:tc>
          <w:tcPr>
            <w:tcW w:type="dxa" w:w="3024"/>
            <w:vAlign w:val="center"/>
          </w:tcPr>
          <w:p>
            <w:r/>
            <w:r>
              <w:rPr>
                <w:rFonts w:ascii="Aptos" w:hAnsi="Aptos"/>
                <w:b w:val="0"/>
                <w:sz w:val="17"/>
              </w:rPr>
              <w:t>Allowed</w:t>
            </w:r>
          </w:p>
        </w:tc>
      </w:tr>
      <w:tr>
        <w:tc>
          <w:tcPr>
            <w:tcW w:type="dxa" w:w="2880"/>
            <w:vAlign w:val="center"/>
          </w:tcPr>
          <w:p>
            <w:r/>
            <w:r>
              <w:rPr>
                <w:rFonts w:ascii="Aptos" w:hAnsi="Aptos"/>
                <w:b w:val="0"/>
                <w:sz w:val="17"/>
              </w:rPr>
              <w:t>Technician user</w:t>
            </w:r>
          </w:p>
        </w:tc>
        <w:tc>
          <w:tcPr>
            <w:tcW w:type="dxa" w:w="3168"/>
            <w:vAlign w:val="center"/>
          </w:tcPr>
          <w:p>
            <w:r/>
            <w:r>
              <w:rPr>
                <w:rFonts w:ascii="Aptos" w:hAnsi="Aptos"/>
                <w:b w:val="0"/>
                <w:sz w:val="17"/>
              </w:rPr>
              <w:t>UPDATE customer</w:t>
            </w:r>
          </w:p>
        </w:tc>
        <w:tc>
          <w:tcPr>
            <w:tcW w:type="dxa" w:w="3024"/>
            <w:vAlign w:val="center"/>
          </w:tcPr>
          <w:p>
            <w:r/>
            <w:r>
              <w:rPr>
                <w:rFonts w:ascii="Aptos" w:hAnsi="Aptos"/>
                <w:b w:val="0"/>
                <w:sz w:val="17"/>
              </w:rPr>
              <w:t>Denied</w:t>
            </w:r>
          </w:p>
        </w:tc>
      </w:tr>
    </w:tbl>
    <w:p/>
    <w:p>
      <w:r>
        <w:t>These tests demonstrate that users can perform required duties without receiving unnecessary modification or administrative rights. The technician test changed Ticket 5 to In Progress during validation; current data may therefore differ from earlier screenshots that showed that ticket as New.</w:t>
      </w:r>
    </w:p>
    <w:p>
      <w:pPr>
        <w:pStyle w:val="Heading1"/>
      </w:pPr>
      <w:r>
        <w:t>16. Backup and Recovery Validation</w:t>
      </w:r>
    </w:p>
    <w:p>
      <w:r>
        <w:t>A custom-format PostgreSQL backup was created with pg_dump and stored in C:\RoyalDB_Backups. The successful backup file was royaldb_full_2026-09-03_v2.backup.</w:t>
      </w:r>
    </w:p>
    <w:p>
      <w:pPr>
        <w:pStyle w:val="CodeBlock"/>
      </w:pPr>
      <w:r>
        <w:t>&amp; "C:\Program Files\PostgreSQL\18\bin\pg_dump.exe" `</w:t>
        <w:br/>
        <w:t xml:space="preserve">  -h localhost `</w:t>
        <w:br/>
        <w:t xml:space="preserve">  -p 5432 `</w:t>
        <w:br/>
        <w:t xml:space="preserve">  -U postgres `</w:t>
        <w:br/>
        <w:t xml:space="preserve">  -F c `</w:t>
        <w:br/>
        <w:t xml:space="preserve">  -f "C:\RoyalDB_Backups\royaldb_full_2026-09-03_v2.backup" `</w:t>
        <w:br/>
        <w:t xml:space="preserve">  royaldb</w:t>
      </w:r>
    </w:p>
    <w:p>
      <w:r>
        <w:t>The backup was verified at 26,241 bytes. pg_restore -l successfully read the archive and reported a PostgreSQL custom-format archive with 63 table-of-contents entries. The backup was then restored into a separate database named royaldb_restore_test.</w:t>
      </w:r>
    </w:p>
    <w:p>
      <w:pPr>
        <w:pStyle w:val="CodeBlock"/>
      </w:pPr>
      <w:r>
        <w:t>&amp; "C:\Program Files\PostgreSQL\18\bin\pg_restore.exe" `</w:t>
        <w:br/>
        <w:t xml:space="preserve">  -h localhost `</w:t>
        <w:br/>
        <w:t xml:space="preserve">  -p 5432 `</w:t>
        <w:br/>
        <w:t xml:space="preserve">  -U postgres `</w:t>
        <w:br/>
        <w:t xml:space="preserve">  -d royaldb_restore_test `</w:t>
        <w:br/>
        <w:t xml:space="preserve">  -v `</w:t>
        <w:br/>
        <w:t xml:space="preserve">  "C:\RoyalDB_Backups\royaldb_full_2026-09-03_v2.backup"</w:t>
      </w:r>
    </w:p>
    <w:p>
      <w:pPr>
        <w:jc w:val="center"/>
      </w:pPr>
      <w:r>
        <w:drawing>
          <wp:inline xmlns:a="http://schemas.openxmlformats.org/drawingml/2006/main" xmlns:pic="http://schemas.openxmlformats.org/drawingml/2006/picture">
            <wp:extent cx="5943600" cy="3974706"/>
            <wp:docPr id="8" name="Picture 8"/>
            <wp:cNvGraphicFramePr>
              <a:graphicFrameLocks noChangeAspect="1"/>
            </wp:cNvGraphicFramePr>
            <a:graphic>
              <a:graphicData uri="http://schemas.openxmlformats.org/drawingml/2006/picture">
                <pic:pic>
                  <pic:nvPicPr>
                    <pic:cNvPr id="0" name="denied error s fixed.PNG"/>
                    <pic:cNvPicPr/>
                  </pic:nvPicPr>
                  <pic:blipFill>
                    <a:blip r:embed="rId16"/>
                    <a:stretch>
                      <a:fillRect/>
                    </a:stretch>
                  </pic:blipFill>
                  <pic:spPr>
                    <a:xfrm>
                      <a:off x="0" y="0"/>
                      <a:ext cx="5943600" cy="3974706"/>
                    </a:xfrm>
                    <a:prstGeom prst="rect"/>
                  </pic:spPr>
                </pic:pic>
              </a:graphicData>
            </a:graphic>
          </wp:inline>
        </w:drawing>
      </w:r>
    </w:p>
    <w:p>
      <w:pPr>
        <w:jc w:val="center"/>
      </w:pPr>
      <w:r>
        <w:rPr>
          <w:i/>
          <w:sz w:val="17"/>
        </w:rPr>
        <w:t>Figure 8. Successful RoyalDB backup and archive validation.</w:t>
      </w:r>
    </w:p>
    <w:p>
      <w:r>
        <w:t>Post-restore verification returned the same row counts as the original database: 3 customers, 3 locations, 4 devices, 3 contracts, 3 technicians, 5 tickets, and 4 ticket assignments. This confirms that the archive could be restored and that the expected data survived the recovery process.</w:t>
      </w:r>
    </w:p>
    <w:p>
      <w:pPr>
        <w:jc w:val="center"/>
      </w:pPr>
      <w:r>
        <w:drawing>
          <wp:inline xmlns:a="http://schemas.openxmlformats.org/drawingml/2006/main" xmlns:pic="http://schemas.openxmlformats.org/drawingml/2006/picture">
            <wp:extent cx="5943600" cy="3390900"/>
            <wp:docPr id="9" name="Picture 9"/>
            <wp:cNvGraphicFramePr>
              <a:graphicFrameLocks noChangeAspect="1"/>
            </wp:cNvGraphicFramePr>
            <a:graphic>
              <a:graphicData uri="http://schemas.openxmlformats.org/drawingml/2006/picture">
                <pic:pic>
                  <pic:nvPicPr>
                    <pic:cNvPr id="0" name="Backup.PNG"/>
                    <pic:cNvPicPr/>
                  </pic:nvPicPr>
                  <pic:blipFill>
                    <a:blip r:embed="rId17"/>
                    <a:stretch>
                      <a:fillRect/>
                    </a:stretch>
                  </pic:blipFill>
                  <pic:spPr>
                    <a:xfrm>
                      <a:off x="0" y="0"/>
                      <a:ext cx="5943600" cy="3390900"/>
                    </a:xfrm>
                    <a:prstGeom prst="rect"/>
                  </pic:spPr>
                </pic:pic>
              </a:graphicData>
            </a:graphic>
          </wp:inline>
        </w:drawing>
      </w:r>
    </w:p>
    <w:p>
      <w:pPr>
        <w:jc w:val="center"/>
      </w:pPr>
      <w:r>
        <w:rPr>
          <w:i/>
          <w:sz w:val="17"/>
        </w:rPr>
        <w:t>Figure 9. Restored royaldb_restore_test database row-count verification.</w:t>
      </w:r>
    </w:p>
    <w:p>
      <w:pPr>
        <w:pStyle w:val="Heading1"/>
      </w:pPr>
      <w:r>
        <w:t>17. Security Architecture</w:t>
      </w:r>
    </w:p>
    <w:p>
      <w:r>
        <w:t>RoyalDB uses a defense-in-depth security approach. The controls below are separated into those validated in the current lab and those recommended for a production deployment.</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shd w:fill="D9EAF7"/>
          </w:tcPr>
          <w:p>
            <w:r/>
            <w:r>
              <w:rPr>
                <w:rFonts w:ascii="Aptos" w:hAnsi="Aptos"/>
                <w:b/>
                <w:sz w:val="18"/>
              </w:rPr>
              <w:t>Control Area</w:t>
            </w:r>
          </w:p>
        </w:tc>
        <w:tc>
          <w:tcPr>
            <w:tcW w:type="dxa" w:w="2304"/>
            <w:vAlign w:val="center"/>
            <w:shd w:fill="D9EAF7"/>
          </w:tcPr>
          <w:p>
            <w:r/>
            <w:r>
              <w:rPr>
                <w:rFonts w:ascii="Aptos" w:hAnsi="Aptos"/>
                <w:b/>
                <w:sz w:val="18"/>
              </w:rPr>
              <w:t>Lab Status</w:t>
            </w:r>
          </w:p>
        </w:tc>
        <w:tc>
          <w:tcPr>
            <w:tcW w:type="dxa" w:w="4320"/>
            <w:vAlign w:val="center"/>
            <w:shd w:fill="D9EAF7"/>
          </w:tcPr>
          <w:p>
            <w:r/>
            <w:r>
              <w:rPr>
                <w:rFonts w:ascii="Aptos" w:hAnsi="Aptos"/>
                <w:b/>
                <w:sz w:val="18"/>
              </w:rPr>
              <w:t>Notes</w:t>
            </w:r>
          </w:p>
        </w:tc>
      </w:tr>
      <w:tr>
        <w:tc>
          <w:tcPr>
            <w:tcW w:type="dxa" w:w="2880"/>
            <w:vAlign w:val="center"/>
          </w:tcPr>
          <w:p>
            <w:r/>
            <w:r>
              <w:rPr>
                <w:rFonts w:ascii="Aptos" w:hAnsi="Aptos"/>
                <w:b w:val="0"/>
                <w:sz w:val="17"/>
              </w:rPr>
              <w:t>Authentication / authorization</w:t>
            </w:r>
          </w:p>
        </w:tc>
        <w:tc>
          <w:tcPr>
            <w:tcW w:type="dxa" w:w="2304"/>
            <w:vAlign w:val="center"/>
          </w:tcPr>
          <w:p>
            <w:r/>
            <w:r>
              <w:rPr>
                <w:rFonts w:ascii="Aptos" w:hAnsi="Aptos"/>
                <w:b w:val="0"/>
                <w:sz w:val="17"/>
              </w:rPr>
              <w:t>Implemented</w:t>
            </w:r>
          </w:p>
        </w:tc>
        <w:tc>
          <w:tcPr>
            <w:tcW w:type="dxa" w:w="4320"/>
            <w:vAlign w:val="center"/>
          </w:tcPr>
          <w:p>
            <w:r/>
            <w:r>
              <w:rPr>
                <w:rFonts w:ascii="Aptos" w:hAnsi="Aptos"/>
                <w:b w:val="0"/>
                <w:sz w:val="17"/>
              </w:rPr>
              <w:t>PostgreSQL login users, group roles, and least-privilege tests.</w:t>
            </w:r>
          </w:p>
        </w:tc>
      </w:tr>
      <w:tr>
        <w:tc>
          <w:tcPr>
            <w:tcW w:type="dxa" w:w="2880"/>
            <w:vAlign w:val="center"/>
          </w:tcPr>
          <w:p>
            <w:r/>
            <w:r>
              <w:rPr>
                <w:rFonts w:ascii="Aptos" w:hAnsi="Aptos"/>
                <w:b w:val="0"/>
                <w:sz w:val="17"/>
              </w:rPr>
              <w:t>Data integrity</w:t>
            </w:r>
          </w:p>
        </w:tc>
        <w:tc>
          <w:tcPr>
            <w:tcW w:type="dxa" w:w="2304"/>
            <w:vAlign w:val="center"/>
          </w:tcPr>
          <w:p>
            <w:r/>
            <w:r>
              <w:rPr>
                <w:rFonts w:ascii="Aptos" w:hAnsi="Aptos"/>
                <w:b w:val="0"/>
                <w:sz w:val="17"/>
              </w:rPr>
              <w:t>Implemented</w:t>
            </w:r>
          </w:p>
        </w:tc>
        <w:tc>
          <w:tcPr>
            <w:tcW w:type="dxa" w:w="4320"/>
            <w:vAlign w:val="center"/>
          </w:tcPr>
          <w:p>
            <w:r/>
            <w:r>
              <w:rPr>
                <w:rFonts w:ascii="Aptos" w:hAnsi="Aptos"/>
                <w:b w:val="0"/>
                <w:sz w:val="17"/>
              </w:rPr>
              <w:t>CHECK constraints, foreign keys, controlled values, required relationships.</w:t>
            </w:r>
          </w:p>
        </w:tc>
      </w:tr>
      <w:tr>
        <w:tc>
          <w:tcPr>
            <w:tcW w:type="dxa" w:w="2880"/>
            <w:vAlign w:val="center"/>
          </w:tcPr>
          <w:p>
            <w:r/>
            <w:r>
              <w:rPr>
                <w:rFonts w:ascii="Aptos" w:hAnsi="Aptos"/>
                <w:b w:val="0"/>
                <w:sz w:val="17"/>
              </w:rPr>
              <w:t>Backup / restore</w:t>
            </w:r>
          </w:p>
        </w:tc>
        <w:tc>
          <w:tcPr>
            <w:tcW w:type="dxa" w:w="2304"/>
            <w:vAlign w:val="center"/>
          </w:tcPr>
          <w:p>
            <w:r/>
            <w:r>
              <w:rPr>
                <w:rFonts w:ascii="Aptos" w:hAnsi="Aptos"/>
                <w:b w:val="0"/>
                <w:sz w:val="17"/>
              </w:rPr>
              <w:t>Implemented</w:t>
            </w:r>
          </w:p>
        </w:tc>
        <w:tc>
          <w:tcPr>
            <w:tcW w:type="dxa" w:w="4320"/>
            <w:vAlign w:val="center"/>
          </w:tcPr>
          <w:p>
            <w:r/>
            <w:r>
              <w:rPr>
                <w:rFonts w:ascii="Aptos" w:hAnsi="Aptos"/>
                <w:b w:val="0"/>
                <w:sz w:val="17"/>
              </w:rPr>
              <w:t>Custom backup, archive validation, separate restore, data verification.</w:t>
            </w:r>
          </w:p>
        </w:tc>
      </w:tr>
      <w:tr>
        <w:tc>
          <w:tcPr>
            <w:tcW w:type="dxa" w:w="2880"/>
            <w:vAlign w:val="center"/>
          </w:tcPr>
          <w:p>
            <w:r/>
            <w:r>
              <w:rPr>
                <w:rFonts w:ascii="Aptos" w:hAnsi="Aptos"/>
                <w:b w:val="0"/>
                <w:sz w:val="17"/>
              </w:rPr>
              <w:t>Network segmentation / firewall</w:t>
            </w:r>
          </w:p>
        </w:tc>
        <w:tc>
          <w:tcPr>
            <w:tcW w:type="dxa" w:w="2304"/>
            <w:vAlign w:val="center"/>
          </w:tcPr>
          <w:p>
            <w:r/>
            <w:r>
              <w:rPr>
                <w:rFonts w:ascii="Aptos" w:hAnsi="Aptos"/>
                <w:b w:val="0"/>
                <w:sz w:val="17"/>
              </w:rPr>
              <w:t>Production recommendation</w:t>
            </w:r>
          </w:p>
        </w:tc>
        <w:tc>
          <w:tcPr>
            <w:tcW w:type="dxa" w:w="4320"/>
            <w:vAlign w:val="center"/>
          </w:tcPr>
          <w:p>
            <w:r/>
            <w:r>
              <w:rPr>
                <w:rFonts w:ascii="Aptos" w:hAnsi="Aptos"/>
                <w:b w:val="0"/>
                <w:sz w:val="17"/>
              </w:rPr>
              <w:t>Restrict database connectivity to approved systems and administration paths.</w:t>
            </w:r>
          </w:p>
        </w:tc>
      </w:tr>
      <w:tr>
        <w:tc>
          <w:tcPr>
            <w:tcW w:type="dxa" w:w="2880"/>
            <w:vAlign w:val="center"/>
          </w:tcPr>
          <w:p>
            <w:r/>
            <w:r>
              <w:rPr>
                <w:rFonts w:ascii="Aptos" w:hAnsi="Aptos"/>
                <w:b w:val="0"/>
                <w:sz w:val="17"/>
              </w:rPr>
              <w:t>TLS encryption</w:t>
            </w:r>
          </w:p>
        </w:tc>
        <w:tc>
          <w:tcPr>
            <w:tcW w:type="dxa" w:w="2304"/>
            <w:vAlign w:val="center"/>
          </w:tcPr>
          <w:p>
            <w:r/>
            <w:r>
              <w:rPr>
                <w:rFonts w:ascii="Aptos" w:hAnsi="Aptos"/>
                <w:b w:val="0"/>
                <w:sz w:val="17"/>
              </w:rPr>
              <w:t>Production recommendation</w:t>
            </w:r>
          </w:p>
        </w:tc>
        <w:tc>
          <w:tcPr>
            <w:tcW w:type="dxa" w:w="4320"/>
            <w:vAlign w:val="center"/>
          </w:tcPr>
          <w:p>
            <w:r/>
            <w:r>
              <w:rPr>
                <w:rFonts w:ascii="Aptos" w:hAnsi="Aptos"/>
                <w:b w:val="0"/>
                <w:sz w:val="17"/>
              </w:rPr>
              <w:t>Protect database connections in transit.</w:t>
            </w:r>
          </w:p>
        </w:tc>
      </w:tr>
      <w:tr>
        <w:tc>
          <w:tcPr>
            <w:tcW w:type="dxa" w:w="2880"/>
            <w:vAlign w:val="center"/>
          </w:tcPr>
          <w:p>
            <w:r/>
            <w:r>
              <w:rPr>
                <w:rFonts w:ascii="Aptos" w:hAnsi="Aptos"/>
                <w:b w:val="0"/>
                <w:sz w:val="17"/>
              </w:rPr>
              <w:t>Centralized monitoring / auditing</w:t>
            </w:r>
          </w:p>
        </w:tc>
        <w:tc>
          <w:tcPr>
            <w:tcW w:type="dxa" w:w="2304"/>
            <w:vAlign w:val="center"/>
          </w:tcPr>
          <w:p>
            <w:r/>
            <w:r>
              <w:rPr>
                <w:rFonts w:ascii="Aptos" w:hAnsi="Aptos"/>
                <w:b w:val="0"/>
                <w:sz w:val="17"/>
              </w:rPr>
              <w:t>Production recommendation</w:t>
            </w:r>
          </w:p>
        </w:tc>
        <w:tc>
          <w:tcPr>
            <w:tcW w:type="dxa" w:w="4320"/>
            <w:vAlign w:val="center"/>
          </w:tcPr>
          <w:p>
            <w:r/>
            <w:r>
              <w:rPr>
                <w:rFonts w:ascii="Aptos" w:hAnsi="Aptos"/>
                <w:b w:val="0"/>
                <w:sz w:val="17"/>
              </w:rPr>
              <w:t>Collect logs and review privileged or suspicious activity.</w:t>
            </w:r>
          </w:p>
        </w:tc>
      </w:tr>
      <w:tr>
        <w:tc>
          <w:tcPr>
            <w:tcW w:type="dxa" w:w="2880"/>
            <w:vAlign w:val="center"/>
          </w:tcPr>
          <w:p>
            <w:r/>
            <w:r>
              <w:rPr>
                <w:rFonts w:ascii="Aptos" w:hAnsi="Aptos"/>
                <w:b w:val="0"/>
                <w:sz w:val="17"/>
              </w:rPr>
              <w:t>Retention policy</w:t>
            </w:r>
          </w:p>
        </w:tc>
        <w:tc>
          <w:tcPr>
            <w:tcW w:type="dxa" w:w="2304"/>
            <w:vAlign w:val="center"/>
          </w:tcPr>
          <w:p>
            <w:r/>
            <w:r>
              <w:rPr>
                <w:rFonts w:ascii="Aptos" w:hAnsi="Aptos"/>
                <w:b w:val="0"/>
                <w:sz w:val="17"/>
              </w:rPr>
              <w:t>Production recommendation</w:t>
            </w:r>
          </w:p>
        </w:tc>
        <w:tc>
          <w:tcPr>
            <w:tcW w:type="dxa" w:w="4320"/>
            <w:vAlign w:val="center"/>
          </w:tcPr>
          <w:p>
            <w:r/>
            <w:r>
              <w:rPr>
                <w:rFonts w:ascii="Aptos" w:hAnsi="Aptos"/>
                <w:b w:val="0"/>
                <w:sz w:val="17"/>
              </w:rPr>
              <w:t>Define formal retention, archival, and deletion requirements.</w:t>
            </w:r>
          </w:p>
        </w:tc>
      </w:tr>
    </w:tbl>
    <w:p/>
    <w:p>
      <w:pPr>
        <w:pStyle w:val="Heading1"/>
      </w:pPr>
      <w:r>
        <w:t>18. Maintenance and Monitoring Plan</w:t>
      </w:r>
    </w:p>
    <w:p>
      <w:pPr>
        <w:pStyle w:val="ListBullet"/>
      </w:pPr>
      <w:r>
        <w:t>Review PostgreSQL logs and database health regularly.</w:t>
      </w:r>
    </w:p>
    <w:p>
      <w:pPr>
        <w:pStyle w:val="ListBullet"/>
      </w:pPr>
      <w:r>
        <w:t>Monitor storage growth, connection usage, and query performance.</w:t>
      </w:r>
    </w:p>
    <w:p>
      <w:pPr>
        <w:pStyle w:val="ListBullet"/>
      </w:pPr>
      <w:r>
        <w:t>Maintain indexes and database statistics as workload grows.</w:t>
      </w:r>
    </w:p>
    <w:p>
      <w:pPr>
        <w:pStyle w:val="ListBullet"/>
      </w:pPr>
      <w:r>
        <w:t>Review role membership and privileges on a recurring schedule.</w:t>
      </w:r>
    </w:p>
    <w:p>
      <w:pPr>
        <w:pStyle w:val="ListBullet"/>
      </w:pPr>
      <w:r>
        <w:t>Apply tested PostgreSQL and operating-system security updates.</w:t>
      </w:r>
    </w:p>
    <w:p>
      <w:pPr>
        <w:pStyle w:val="ListBullet"/>
      </w:pPr>
      <w:r>
        <w:t>Perform scheduled backups according to business recovery objectives.</w:t>
      </w:r>
    </w:p>
    <w:p>
      <w:pPr>
        <w:pStyle w:val="ListBullet"/>
      </w:pPr>
      <w:r>
        <w:t>Run recurring restore tests rather than assuming backups remain usable.</w:t>
      </w:r>
    </w:p>
    <w:p>
      <w:pPr>
        <w:pStyle w:val="ListBullet"/>
      </w:pPr>
      <w:r>
        <w:t>Document schema, role, configuration, and recovery-process changes.</w:t>
      </w:r>
    </w:p>
    <w:p>
      <w:pPr>
        <w:pStyle w:val="Heading1"/>
      </w:pPr>
      <w:r>
        <w:t>19. Troubleshooting and Lessons Learned</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r/>
            <w:r>
              <w:rPr>
                <w:rFonts w:ascii="Aptos" w:hAnsi="Aptos"/>
                <w:b/>
                <w:sz w:val="18"/>
              </w:rPr>
              <w:t>Issue</w:t>
            </w:r>
          </w:p>
        </w:tc>
        <w:tc>
          <w:tcPr>
            <w:tcW w:type="dxa" w:w="3312"/>
            <w:vAlign w:val="center"/>
            <w:shd w:fill="D9EAF7"/>
          </w:tcPr>
          <w:p>
            <w:r/>
            <w:r>
              <w:rPr>
                <w:rFonts w:ascii="Aptos" w:hAnsi="Aptos"/>
                <w:b/>
                <w:sz w:val="18"/>
              </w:rPr>
              <w:t>Observed Problem</w:t>
            </w:r>
          </w:p>
        </w:tc>
        <w:tc>
          <w:tcPr>
            <w:tcW w:type="dxa" w:w="4032"/>
            <w:vAlign w:val="center"/>
            <w:shd w:fill="D9EAF7"/>
          </w:tcPr>
          <w:p>
            <w:r/>
            <w:r>
              <w:rPr>
                <w:rFonts w:ascii="Aptos" w:hAnsi="Aptos"/>
                <w:b/>
                <w:sz w:val="18"/>
              </w:rPr>
              <w:t>Resolution / Lesson</w:t>
            </w:r>
          </w:p>
        </w:tc>
      </w:tr>
      <w:tr>
        <w:tc>
          <w:tcPr>
            <w:tcW w:type="dxa" w:w="2160"/>
            <w:vAlign w:val="center"/>
          </w:tcPr>
          <w:p>
            <w:r/>
            <w:r>
              <w:rPr>
                <w:rFonts w:ascii="Aptos" w:hAnsi="Aptos"/>
                <w:b w:val="0"/>
                <w:sz w:val="17"/>
              </w:rPr>
              <w:t>Domain join / DNS</w:t>
            </w:r>
          </w:p>
        </w:tc>
        <w:tc>
          <w:tcPr>
            <w:tcW w:type="dxa" w:w="3312"/>
            <w:vAlign w:val="center"/>
          </w:tcPr>
          <w:p>
            <w:r/>
            <w:r>
              <w:rPr>
                <w:rFonts w:ascii="Aptos" w:hAnsi="Aptos"/>
                <w:b w:val="0"/>
                <w:sz w:val="17"/>
              </w:rPr>
              <w:t>DB01 initially could not locate Royal1.Local.</w:t>
            </w:r>
          </w:p>
        </w:tc>
        <w:tc>
          <w:tcPr>
            <w:tcW w:type="dxa" w:w="4032"/>
            <w:vAlign w:val="center"/>
          </w:tcPr>
          <w:p>
            <w:r/>
            <w:r>
              <w:rPr>
                <w:rFonts w:ascii="Aptos" w:hAnsi="Aptos"/>
                <w:b w:val="0"/>
                <w:sz w:val="17"/>
              </w:rPr>
              <w:t>In this lab, the configuration that succeeded used an empty preferred DNS field and the domain controller as Alternate DNS. This is recorded as an environment-specific troubleshooting result, not a general Windows DNS standard.</w:t>
            </w:r>
          </w:p>
        </w:tc>
      </w:tr>
      <w:tr>
        <w:tc>
          <w:tcPr>
            <w:tcW w:type="dxa" w:w="2160"/>
            <w:vAlign w:val="center"/>
          </w:tcPr>
          <w:p>
            <w:r/>
            <w:r>
              <w:rPr>
                <w:rFonts w:ascii="Aptos" w:hAnsi="Aptos"/>
                <w:b w:val="0"/>
                <w:sz w:val="17"/>
              </w:rPr>
              <w:t>SQL identifier mismatch</w:t>
            </w:r>
          </w:p>
        </w:tc>
        <w:tc>
          <w:tcPr>
            <w:tcW w:type="dxa" w:w="3312"/>
            <w:vAlign w:val="center"/>
          </w:tcPr>
          <w:p>
            <w:r/>
            <w:r>
              <w:rPr>
                <w:rFonts w:ascii="Aptos" w:hAnsi="Aptos"/>
                <w:b w:val="0"/>
                <w:sz w:val="17"/>
              </w:rPr>
              <w:t>Initial JOIN used conceptual CamelCase identifiers such as CustomerID and failed.</w:t>
            </w:r>
          </w:p>
        </w:tc>
        <w:tc>
          <w:tcPr>
            <w:tcW w:type="dxa" w:w="4032"/>
            <w:vAlign w:val="center"/>
          </w:tcPr>
          <w:p>
            <w:r/>
            <w:r>
              <w:rPr>
                <w:rFonts w:ascii="Aptos" w:hAnsi="Aptos"/>
                <w:b w:val="0"/>
                <w:sz w:val="17"/>
              </w:rPr>
              <w:t>The physical PostgreSQL implementation uses snake_case such as customer_id. Queries were corrected to match the physical schema.</w:t>
            </w:r>
          </w:p>
        </w:tc>
      </w:tr>
      <w:tr>
        <w:tc>
          <w:tcPr>
            <w:tcW w:type="dxa" w:w="2160"/>
            <w:vAlign w:val="center"/>
          </w:tcPr>
          <w:p>
            <w:r/>
            <w:r>
              <w:rPr>
                <w:rFonts w:ascii="Aptos" w:hAnsi="Aptos"/>
                <w:b w:val="0"/>
                <w:sz w:val="17"/>
              </w:rPr>
              <w:t>Backup permission error</w:t>
            </w:r>
          </w:p>
        </w:tc>
        <w:tc>
          <w:tcPr>
            <w:tcW w:type="dxa" w:w="3312"/>
            <w:vAlign w:val="center"/>
          </w:tcPr>
          <w:p>
            <w:r/>
            <w:r>
              <w:rPr>
                <w:rFonts w:ascii="Aptos" w:hAnsi="Aptos"/>
                <w:b w:val="0"/>
                <w:sz w:val="17"/>
              </w:rPr>
              <w:t>pgAdmin and the first pg_dump attempt returned Permission denied for the original backup path/name.</w:t>
            </w:r>
          </w:p>
        </w:tc>
        <w:tc>
          <w:tcPr>
            <w:tcW w:type="dxa" w:w="4032"/>
            <w:vAlign w:val="center"/>
          </w:tcPr>
          <w:p>
            <w:r/>
            <w:r>
              <w:rPr>
                <w:rFonts w:ascii="Aptos" w:hAnsi="Aptos"/>
                <w:b w:val="0"/>
                <w:sz w:val="17"/>
              </w:rPr>
              <w:t>Folder writeability was tested, the old target was confirmed absent, and a new _v2 filename was used successfully with native pg_dump.</w:t>
            </w:r>
          </w:p>
        </w:tc>
      </w:tr>
      <w:tr>
        <w:tc>
          <w:tcPr>
            <w:tcW w:type="dxa" w:w="2160"/>
            <w:vAlign w:val="center"/>
          </w:tcPr>
          <w:p>
            <w:r/>
            <w:r>
              <w:rPr>
                <w:rFonts w:ascii="Aptos" w:hAnsi="Aptos"/>
                <w:b w:val="0"/>
                <w:sz w:val="17"/>
              </w:rPr>
              <w:t>Security validation</w:t>
            </w:r>
          </w:p>
        </w:tc>
        <w:tc>
          <w:tcPr>
            <w:tcW w:type="dxa" w:w="3312"/>
            <w:vAlign w:val="center"/>
          </w:tcPr>
          <w:p>
            <w:r/>
            <w:r>
              <w:rPr>
                <w:rFonts w:ascii="Aptos" w:hAnsi="Aptos"/>
                <w:b w:val="0"/>
                <w:sz w:val="17"/>
              </w:rPr>
              <w:t>Configuration alone does not prove least privilege.</w:t>
            </w:r>
          </w:p>
        </w:tc>
        <w:tc>
          <w:tcPr>
            <w:tcW w:type="dxa" w:w="4032"/>
            <w:vAlign w:val="center"/>
          </w:tcPr>
          <w:p>
            <w:r/>
            <w:r>
              <w:rPr>
                <w:rFonts w:ascii="Aptos" w:hAnsi="Aptos"/>
                <w:b w:val="0"/>
                <w:sz w:val="17"/>
              </w:rPr>
              <w:t>SET ROLE tests confirmed allowed and denied operations for read-only and technician users.</w:t>
            </w:r>
          </w:p>
        </w:tc>
      </w:tr>
      <w:tr>
        <w:tc>
          <w:tcPr>
            <w:tcW w:type="dxa" w:w="2160"/>
            <w:vAlign w:val="center"/>
          </w:tcPr>
          <w:p>
            <w:r/>
            <w:r>
              <w:rPr>
                <w:rFonts w:ascii="Aptos" w:hAnsi="Aptos"/>
                <w:b w:val="0"/>
                <w:sz w:val="17"/>
              </w:rPr>
              <w:t>Recovery validation</w:t>
            </w:r>
          </w:p>
        </w:tc>
        <w:tc>
          <w:tcPr>
            <w:tcW w:type="dxa" w:w="3312"/>
            <w:vAlign w:val="center"/>
          </w:tcPr>
          <w:p>
            <w:r/>
            <w:r>
              <w:rPr>
                <w:rFonts w:ascii="Aptos" w:hAnsi="Aptos"/>
                <w:b w:val="0"/>
                <w:sz w:val="17"/>
              </w:rPr>
              <w:t>Creating a backup alone does not prove recoverability.</w:t>
            </w:r>
          </w:p>
        </w:tc>
        <w:tc>
          <w:tcPr>
            <w:tcW w:type="dxa" w:w="4032"/>
            <w:vAlign w:val="center"/>
          </w:tcPr>
          <w:p>
            <w:r/>
            <w:r>
              <w:rPr>
                <w:rFonts w:ascii="Aptos" w:hAnsi="Aptos"/>
                <w:b w:val="0"/>
                <w:sz w:val="17"/>
              </w:rPr>
              <w:t>The archive was read, restored to a separate test database, and row counts were verified.</w:t>
            </w:r>
          </w:p>
        </w:tc>
      </w:tr>
    </w:tbl>
    <w:p/>
    <w:p>
      <w:pPr>
        <w:pStyle w:val="Heading1"/>
      </w:pPr>
      <w:r>
        <w:t>20. Implementation Status</w:t>
      </w:r>
    </w:p>
    <w:tbl>
      <w:tblPr>
        <w:tblStyle w:val="TableGrid"/>
        <w:tblW w:type="auto" w:w="0"/>
        <w:jc w:val="center"/>
        <w:tblLook w:firstColumn="1" w:firstRow="1" w:lastColumn="0" w:lastRow="0" w:noHBand="0" w:noVBand="1" w:val="04A0"/>
      </w:tblPr>
      <w:tblGrid>
        <w:gridCol w:w="4896"/>
        <w:gridCol w:w="4896"/>
      </w:tblGrid>
      <w:tr>
        <w:tc>
          <w:tcPr>
            <w:tcW w:type="dxa" w:w="6192"/>
            <w:vAlign w:val="center"/>
            <w:shd w:fill="D9EAF7"/>
          </w:tcPr>
          <w:p>
            <w:r/>
            <w:r>
              <w:rPr>
                <w:rFonts w:ascii="Aptos" w:hAnsi="Aptos"/>
                <w:b/>
                <w:sz w:val="18"/>
              </w:rPr>
              <w:t>Area</w:t>
            </w:r>
          </w:p>
        </w:tc>
        <w:tc>
          <w:tcPr>
            <w:tcW w:type="dxa" w:w="2880"/>
            <w:vAlign w:val="center"/>
            <w:shd w:fill="D9EAF7"/>
          </w:tcPr>
          <w:p>
            <w:r/>
            <w:r>
              <w:rPr>
                <w:rFonts w:ascii="Aptos" w:hAnsi="Aptos"/>
                <w:b/>
                <w:sz w:val="18"/>
              </w:rPr>
              <w:t>Status</w:t>
            </w:r>
          </w:p>
        </w:tc>
      </w:tr>
      <w:tr>
        <w:tc>
          <w:tcPr>
            <w:tcW w:type="dxa" w:w="6192"/>
            <w:vAlign w:val="center"/>
          </w:tcPr>
          <w:p>
            <w:r/>
            <w:r>
              <w:rPr>
                <w:rFonts w:ascii="Aptos" w:hAnsi="Aptos"/>
                <w:b w:val="0"/>
                <w:sz w:val="17"/>
              </w:rPr>
              <w:t>Requirements and MVP</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Logical data model / ERD</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Data flow model</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PostgreSQL 18 installation on DB01</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royaldb database and seven-table schema</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Sample data and relational queries</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CHECK / foreign-key integrity testing</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RBAC and least-privilege testing</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Backup, archive validation, restore, and data verification</w:t>
            </w:r>
          </w:p>
        </w:tc>
        <w:tc>
          <w:tcPr>
            <w:tcW w:type="dxa" w:w="2880"/>
            <w:vAlign w:val="center"/>
          </w:tcPr>
          <w:p>
            <w:r/>
            <w:r>
              <w:rPr>
                <w:rFonts w:ascii="Aptos" w:hAnsi="Aptos"/>
                <w:b w:val="0"/>
                <w:sz w:val="17"/>
              </w:rPr>
              <w:t>Complete</w:t>
            </w:r>
          </w:p>
        </w:tc>
      </w:tr>
      <w:tr>
        <w:tc>
          <w:tcPr>
            <w:tcW w:type="dxa" w:w="6192"/>
            <w:vAlign w:val="center"/>
          </w:tcPr>
          <w:p>
            <w:r/>
            <w:r>
              <w:rPr>
                <w:rFonts w:ascii="Aptos" w:hAnsi="Aptos"/>
                <w:b w:val="0"/>
                <w:sz w:val="17"/>
              </w:rPr>
              <w:t>Production network hardening and TLS</w:t>
            </w:r>
          </w:p>
        </w:tc>
        <w:tc>
          <w:tcPr>
            <w:tcW w:type="dxa" w:w="2880"/>
            <w:vAlign w:val="center"/>
          </w:tcPr>
          <w:p>
            <w:r/>
            <w:r>
              <w:rPr>
                <w:rFonts w:ascii="Aptos" w:hAnsi="Aptos"/>
                <w:b w:val="0"/>
                <w:sz w:val="17"/>
              </w:rPr>
              <w:t>Recommended next step</w:t>
            </w:r>
          </w:p>
        </w:tc>
      </w:tr>
      <w:tr>
        <w:tc>
          <w:tcPr>
            <w:tcW w:type="dxa" w:w="6192"/>
            <w:vAlign w:val="center"/>
          </w:tcPr>
          <w:p>
            <w:r/>
            <w:r>
              <w:rPr>
                <w:rFonts w:ascii="Aptos" w:hAnsi="Aptos"/>
                <w:b w:val="0"/>
                <w:sz w:val="17"/>
              </w:rPr>
              <w:t>Centralized monitoring / auditing</w:t>
            </w:r>
          </w:p>
        </w:tc>
        <w:tc>
          <w:tcPr>
            <w:tcW w:type="dxa" w:w="2880"/>
            <w:vAlign w:val="center"/>
          </w:tcPr>
          <w:p>
            <w:r/>
            <w:r>
              <w:rPr>
                <w:rFonts w:ascii="Aptos" w:hAnsi="Aptos"/>
                <w:b w:val="0"/>
                <w:sz w:val="17"/>
              </w:rPr>
              <w:t>Recommended next step</w:t>
            </w:r>
          </w:p>
        </w:tc>
      </w:tr>
      <w:tr>
        <w:tc>
          <w:tcPr>
            <w:tcW w:type="dxa" w:w="6192"/>
            <w:vAlign w:val="center"/>
          </w:tcPr>
          <w:p>
            <w:r/>
            <w:r>
              <w:rPr>
                <w:rFonts w:ascii="Aptos" w:hAnsi="Aptos"/>
                <w:b w:val="0"/>
                <w:sz w:val="17"/>
              </w:rPr>
              <w:t>Formal retention and recurring recovery schedule</w:t>
            </w:r>
          </w:p>
        </w:tc>
        <w:tc>
          <w:tcPr>
            <w:tcW w:type="dxa" w:w="2880"/>
            <w:vAlign w:val="center"/>
          </w:tcPr>
          <w:p>
            <w:r/>
            <w:r>
              <w:rPr>
                <w:rFonts w:ascii="Aptos" w:hAnsi="Aptos"/>
                <w:b w:val="0"/>
                <w:sz w:val="17"/>
              </w:rPr>
              <w:t>Recommended next step</w:t>
            </w:r>
          </w:p>
        </w:tc>
      </w:tr>
      <w:tr>
        <w:tc>
          <w:tcPr>
            <w:tcW w:type="dxa" w:w="6192"/>
            <w:vAlign w:val="center"/>
          </w:tcPr>
          <w:p>
            <w:r/>
            <w:r>
              <w:rPr>
                <w:rFonts w:ascii="Aptos" w:hAnsi="Aptos"/>
                <w:b w:val="0"/>
                <w:sz w:val="17"/>
              </w:rPr>
              <w:t>Production release / user acceptance</w:t>
            </w:r>
          </w:p>
        </w:tc>
        <w:tc>
          <w:tcPr>
            <w:tcW w:type="dxa" w:w="2880"/>
            <w:vAlign w:val="center"/>
          </w:tcPr>
          <w:p>
            <w:r/>
            <w:r>
              <w:rPr>
                <w:rFonts w:ascii="Aptos" w:hAnsi="Aptos"/>
                <w:b w:val="0"/>
                <w:sz w:val="17"/>
              </w:rPr>
              <w:t>Future production phase</w:t>
            </w:r>
          </w:p>
        </w:tc>
      </w:tr>
    </w:tbl>
    <w:p/>
    <w:p>
      <w:pPr>
        <w:pStyle w:val="Heading1"/>
      </w:pPr>
      <w:r>
        <w:t>21. Future Expansion</w:t>
      </w:r>
    </w:p>
    <w:p>
      <w:r>
        <w:t>The relational PostgreSQL implementation is appropriate for RoyalDB's structured transactional data. If Royal Technology Solutions later collects high-volume semi-structured or unstructured information such as security logs, monitoring events, or application telemetry, a NoSQL or hybrid architecture could complement rather than replace RoyalDB. This capability is a future recommendation and was not implemented in the current lab.</w:t>
      </w:r>
    </w:p>
    <w:p>
      <w:pPr>
        <w:pStyle w:val="Heading1"/>
      </w:pPr>
      <w:r>
        <w:t>22. Conclusion</w:t>
      </w:r>
    </w:p>
    <w:p>
      <w:r>
        <w:t>RoyalDB progressed from a business requirement into a functioning PostgreSQL database. The implementation validates the planned seven-entity relational model, optional device-to-ticket relationship, Ticket Assignment bridge, data-integrity constraints, role-based access controls, least privilege, and backup/recovery workflow. The remaining work is primarily production hardening, monitoring, formal retention, recurring recovery testing, and production release procedures.</w:t>
      </w:r>
    </w:p>
    <w:p>
      <w:pPr>
        <w:pStyle w:val="Heading1"/>
      </w:pPr>
      <w:r>
        <w:t>Appendix A. Core SQL Validation Commands</w:t>
      </w:r>
    </w:p>
    <w:p>
      <w:pPr>
        <w:pStyle w:val="CodeBlock"/>
      </w:pPr>
      <w:r>
        <w:t>-- Schema verification</w:t>
        <w:br/>
        <w:t>SELECT table_name</w:t>
        <w:br/>
        <w:t>FROM information_schema.tables</w:t>
        <w:br/>
        <w:t>WHERE table_schema = 'public'</w:t>
        <w:br/>
        <w:t>ORDER BY table_name;</w:t>
        <w:br/>
        <w:br/>
        <w:t>-- Row counts</w:t>
        <w:br/>
        <w:t>SELECT 'customer' AS table_name, COUNT(*) FROM customer</w:t>
        <w:br/>
        <w:t>UNION ALL SELECT 'location', COUNT(*) FROM location</w:t>
        <w:br/>
        <w:t>UNION ALL SELECT 'device', COUNT(*) FROM device</w:t>
        <w:br/>
        <w:t>UNION ALL SELECT 'contract', COUNT(*) FROM contract</w:t>
        <w:br/>
        <w:t>UNION ALL SELECT 'technician', COUNT(*) FROM technician</w:t>
        <w:br/>
        <w:t>UNION ALL SELECT 'ticket', COUNT(*) FROM ticket</w:t>
        <w:br/>
        <w:t>UNION ALL SELECT 'ticket_assignment', COUNT(*) FROM ticket_assignment;</w:t>
      </w:r>
    </w:p>
    <w:p>
      <w:pPr>
        <w:pStyle w:val="Heading1"/>
      </w:pPr>
      <w:r>
        <w:t>Appendix B. Project Artifacts</w:t>
      </w:r>
    </w:p>
    <w:tbl>
      <w:tblPr>
        <w:tblStyle w:val="TableGrid"/>
        <w:tblW w:type="auto" w:w="0"/>
        <w:jc w:val="center"/>
        <w:tblLook w:firstColumn="1" w:firstRow="1" w:lastColumn="0" w:lastRow="0" w:noHBand="0" w:noVBand="1" w:val="04A0"/>
      </w:tblPr>
      <w:tblGrid>
        <w:gridCol w:w="4896"/>
        <w:gridCol w:w="4896"/>
      </w:tblGrid>
      <w:tr>
        <w:tc>
          <w:tcPr>
            <w:tcW w:type="dxa" w:w="5616"/>
            <w:vAlign w:val="center"/>
            <w:shd w:fill="D9EAF7"/>
          </w:tcPr>
          <w:p>
            <w:r/>
            <w:r>
              <w:rPr>
                <w:rFonts w:ascii="Aptos" w:hAnsi="Aptos"/>
                <w:b/>
                <w:sz w:val="18"/>
              </w:rPr>
              <w:t>Artifact</w:t>
            </w:r>
          </w:p>
        </w:tc>
        <w:tc>
          <w:tcPr>
            <w:tcW w:type="dxa" w:w="3456"/>
            <w:vAlign w:val="center"/>
            <w:shd w:fill="D9EAF7"/>
          </w:tcPr>
          <w:p>
            <w:r/>
            <w:r>
              <w:rPr>
                <w:rFonts w:ascii="Aptos" w:hAnsi="Aptos"/>
                <w:b/>
                <w:sz w:val="18"/>
              </w:rPr>
              <w:t>Purpose</w:t>
            </w:r>
          </w:p>
        </w:tc>
      </w:tr>
      <w:tr>
        <w:tc>
          <w:tcPr>
            <w:tcW w:type="dxa" w:w="5616"/>
            <w:vAlign w:val="center"/>
          </w:tcPr>
          <w:p>
            <w:r/>
            <w:r>
              <w:rPr>
                <w:rFonts w:ascii="Aptos" w:hAnsi="Aptos"/>
                <w:b w:val="0"/>
                <w:sz w:val="17"/>
              </w:rPr>
              <w:t>Royal_Technology_Solutions_Unit_2_Data_Model.docx</w:t>
            </w:r>
          </w:p>
        </w:tc>
        <w:tc>
          <w:tcPr>
            <w:tcW w:type="dxa" w:w="3456"/>
            <w:vAlign w:val="center"/>
          </w:tcPr>
          <w:p>
            <w:r/>
            <w:r>
              <w:rPr>
                <w:rFonts w:ascii="Aptos" w:hAnsi="Aptos"/>
                <w:b w:val="0"/>
                <w:sz w:val="17"/>
              </w:rPr>
              <w:t>Initial data-model documentation.</w:t>
            </w:r>
          </w:p>
        </w:tc>
      </w:tr>
      <w:tr>
        <w:tc>
          <w:tcPr>
            <w:tcW w:type="dxa" w:w="5616"/>
            <w:vAlign w:val="center"/>
          </w:tcPr>
          <w:p>
            <w:r/>
            <w:r>
              <w:rPr>
                <w:rFonts w:ascii="Aptos" w:hAnsi="Aptos"/>
                <w:b w:val="0"/>
                <w:sz w:val="17"/>
              </w:rPr>
              <w:t>Royal_Technology_Solutions_Unit_3_Relational_Database_Model.docx</w:t>
            </w:r>
          </w:p>
        </w:tc>
        <w:tc>
          <w:tcPr>
            <w:tcW w:type="dxa" w:w="3456"/>
            <w:vAlign w:val="center"/>
          </w:tcPr>
          <w:p>
            <w:r/>
            <w:r>
              <w:rPr>
                <w:rFonts w:ascii="Aptos" w:hAnsi="Aptos"/>
                <w:b w:val="0"/>
                <w:sz w:val="17"/>
              </w:rPr>
              <w:t>Relational model development.</w:t>
            </w:r>
          </w:p>
        </w:tc>
      </w:tr>
      <w:tr>
        <w:tc>
          <w:tcPr>
            <w:tcW w:type="dxa" w:w="5616"/>
            <w:vAlign w:val="center"/>
          </w:tcPr>
          <w:p>
            <w:r/>
            <w:r>
              <w:rPr>
                <w:rFonts w:ascii="Aptos" w:hAnsi="Aptos"/>
                <w:b w:val="0"/>
                <w:sz w:val="17"/>
              </w:rPr>
              <w:t>Royal_Technology_Solutions_Unit_4_Entity_Relationship_Modeling_with_ERD.docx</w:t>
            </w:r>
          </w:p>
        </w:tc>
        <w:tc>
          <w:tcPr>
            <w:tcW w:type="dxa" w:w="3456"/>
            <w:vAlign w:val="center"/>
          </w:tcPr>
          <w:p>
            <w:r/>
            <w:r>
              <w:rPr>
                <w:rFonts w:ascii="Aptos" w:hAnsi="Aptos"/>
                <w:b w:val="0"/>
                <w:sz w:val="17"/>
              </w:rPr>
              <w:t>ER modeling and ERD documentation.</w:t>
            </w:r>
          </w:p>
        </w:tc>
      </w:tr>
      <w:tr>
        <w:tc>
          <w:tcPr>
            <w:tcW w:type="dxa" w:w="5616"/>
            <w:vAlign w:val="center"/>
          </w:tcPr>
          <w:p>
            <w:r/>
            <w:r>
              <w:rPr>
                <w:rFonts w:ascii="Aptos" w:hAnsi="Aptos"/>
                <w:b w:val="0"/>
                <w:sz w:val="17"/>
              </w:rPr>
              <w:t>Royal_Technology_Solutions_Unit_5_Advanced_Data_Modeling.docx</w:t>
            </w:r>
          </w:p>
        </w:tc>
        <w:tc>
          <w:tcPr>
            <w:tcW w:type="dxa" w:w="3456"/>
            <w:vAlign w:val="center"/>
          </w:tcPr>
          <w:p>
            <w:r/>
            <w:r>
              <w:rPr>
                <w:rFonts w:ascii="Aptos" w:hAnsi="Aptos"/>
                <w:b w:val="0"/>
                <w:sz w:val="17"/>
              </w:rPr>
              <w:t>Advanced modeling documentation.</w:t>
            </w:r>
          </w:p>
        </w:tc>
      </w:tr>
      <w:tr>
        <w:tc>
          <w:tcPr>
            <w:tcW w:type="dxa" w:w="5616"/>
            <w:vAlign w:val="center"/>
          </w:tcPr>
          <w:p>
            <w:r/>
            <w:r>
              <w:rPr>
                <w:rFonts w:ascii="Aptos" w:hAnsi="Aptos"/>
                <w:b w:val="0"/>
                <w:sz w:val="17"/>
              </w:rPr>
              <w:t>Royal_Technology_Solutions_Unit_6_SQL_Implementation.docx</w:t>
            </w:r>
          </w:p>
        </w:tc>
        <w:tc>
          <w:tcPr>
            <w:tcW w:type="dxa" w:w="3456"/>
            <w:vAlign w:val="center"/>
          </w:tcPr>
          <w:p>
            <w:r/>
            <w:r>
              <w:rPr>
                <w:rFonts w:ascii="Aptos" w:hAnsi="Aptos"/>
                <w:b w:val="0"/>
                <w:sz w:val="17"/>
              </w:rPr>
              <w:t>SQL implementation documentation.</w:t>
            </w:r>
          </w:p>
        </w:tc>
      </w:tr>
      <w:tr>
        <w:tc>
          <w:tcPr>
            <w:tcW w:type="dxa" w:w="5616"/>
            <w:vAlign w:val="center"/>
          </w:tcPr>
          <w:p>
            <w:r/>
            <w:r>
              <w:rPr>
                <w:rFonts w:ascii="Aptos" w:hAnsi="Aptos"/>
                <w:b w:val="0"/>
                <w:sz w:val="17"/>
              </w:rPr>
              <w:t>RoyalDB_Unit6_SQL_Implementation.sql</w:t>
            </w:r>
          </w:p>
        </w:tc>
        <w:tc>
          <w:tcPr>
            <w:tcW w:type="dxa" w:w="3456"/>
            <w:vAlign w:val="center"/>
          </w:tcPr>
          <w:p>
            <w:r/>
            <w:r>
              <w:rPr>
                <w:rFonts w:ascii="Aptos" w:hAnsi="Aptos"/>
                <w:b w:val="0"/>
                <w:sz w:val="17"/>
              </w:rPr>
              <w:t>RoyalDB SQL build script.</w:t>
            </w:r>
          </w:p>
        </w:tc>
      </w:tr>
      <w:tr>
        <w:tc>
          <w:tcPr>
            <w:tcW w:type="dxa" w:w="5616"/>
            <w:vAlign w:val="center"/>
          </w:tcPr>
          <w:p>
            <w:r/>
            <w:r>
              <w:rPr>
                <w:rFonts w:ascii="Aptos" w:hAnsi="Aptos"/>
                <w:b w:val="0"/>
                <w:sz w:val="17"/>
              </w:rPr>
              <w:t>Royal_Technology_Solutions_Unit_7_Big_Data_and_NoSQL.docx</w:t>
            </w:r>
          </w:p>
        </w:tc>
        <w:tc>
          <w:tcPr>
            <w:tcW w:type="dxa" w:w="3456"/>
            <w:vAlign w:val="center"/>
          </w:tcPr>
          <w:p>
            <w:r/>
            <w:r>
              <w:rPr>
                <w:rFonts w:ascii="Aptos" w:hAnsi="Aptos"/>
                <w:b w:val="0"/>
                <w:sz w:val="17"/>
              </w:rPr>
              <w:t>Big Data / NoSQL extension analysis.</w:t>
            </w:r>
          </w:p>
        </w:tc>
      </w:tr>
      <w:tr>
        <w:tc>
          <w:tcPr>
            <w:tcW w:type="dxa" w:w="5616"/>
            <w:vAlign w:val="center"/>
          </w:tcPr>
          <w:p>
            <w:r/>
            <w:r>
              <w:rPr>
                <w:rFonts w:ascii="Aptos" w:hAnsi="Aptos"/>
                <w:b w:val="0"/>
                <w:sz w:val="17"/>
              </w:rPr>
              <w:t>Royal_Technology_Solutions_Unit_8_Database_Administration_and_Security.docx</w:t>
            </w:r>
          </w:p>
        </w:tc>
        <w:tc>
          <w:tcPr>
            <w:tcW w:type="dxa" w:w="3456"/>
            <w:vAlign w:val="center"/>
          </w:tcPr>
          <w:p>
            <w:r/>
            <w:r>
              <w:rPr>
                <w:rFonts w:ascii="Aptos" w:hAnsi="Aptos"/>
                <w:b w:val="0"/>
                <w:sz w:val="17"/>
              </w:rPr>
              <w:t>Administration and security documentation.</w:t>
            </w:r>
          </w:p>
        </w:tc>
      </w:tr>
      <w:tr>
        <w:tc>
          <w:tcPr>
            <w:tcW w:type="dxa" w:w="5616"/>
            <w:vAlign w:val="center"/>
          </w:tcPr>
          <w:p>
            <w:r/>
            <w:r>
              <w:rPr>
                <w:rFonts w:ascii="Aptos" w:hAnsi="Aptos"/>
                <w:b w:val="0"/>
                <w:sz w:val="17"/>
              </w:rPr>
              <w:t>RoyalDB_CIS421_Final_Project_LaVon_Thomas_FINAL.pptx</w:t>
            </w:r>
          </w:p>
        </w:tc>
        <w:tc>
          <w:tcPr>
            <w:tcW w:type="dxa" w:w="3456"/>
            <w:vAlign w:val="center"/>
          </w:tcPr>
          <w:p>
            <w:r/>
            <w:r>
              <w:rPr>
                <w:rFonts w:ascii="Aptos" w:hAnsi="Aptos"/>
                <w:b w:val="0"/>
                <w:sz w:val="17"/>
              </w:rPr>
              <w:t>Final board/CEO presentation with narration notes.</w:t>
            </w:r>
          </w:p>
        </w:tc>
      </w:tr>
    </w:tbl>
    <w:p/>
    <w:p>
      <w:pPr>
        <w:pStyle w:val="Heading1"/>
      </w:pPr>
      <w:r>
        <w:t>Appendix C. Academic and Project References</w:t>
      </w:r>
    </w:p>
    <w:p>
      <w:pPr>
        <w:ind w:hanging="432" w:left="432"/>
      </w:pPr>
      <w:r>
        <w:t>Bjeladinovic, S. (2018). A fresh approach for hybrid SQL/NoSQL database design based on data structuredness. Enterprise Information Systems, 12(8-9), 1202-1220.</w:t>
      </w:r>
    </w:p>
    <w:p>
      <w:pPr>
        <w:ind w:hanging="432" w:left="432"/>
      </w:pPr>
      <w:r>
        <w:t>Coronel, C., &amp; Morris, S. (2023). Database systems: Design, implementation, &amp; management (14th ed.). Cengage Learning.</w:t>
      </w:r>
    </w:p>
    <w:p>
      <w:pPr>
        <w:ind w:hanging="432" w:left="432"/>
      </w:pPr>
      <w:r>
        <w:t>Katz, A. (2020). Improved teaching of database schema modeling by visualizing changes in levels of abstraction. Journal of Information Systems Education, 31(4), 294-311.</w:t>
      </w:r>
    </w:p>
    <w:p>
      <w:pPr>
        <w:ind w:hanging="432" w:left="432"/>
      </w:pPr>
      <w:r>
        <w:t>Miartin, E. (2020). Revolutionary change. Business North Carolina, 40(12), 52-59.</w:t>
      </w:r>
    </w:p>
    <w:p>
      <w:pPr>
        <w:ind w:hanging="432" w:left="432"/>
      </w:pPr>
      <w:r>
        <w:t>Roller, D., Eck, O., &amp; Dalakakis, S. (2002). Advanced database approach for cooperative product design. Journal of Engineering Design, 13(1), 49-61.</w:t>
      </w:r>
    </w:p>
    <w:p>
      <w:pPr>
        <w:ind w:hanging="432" w:left="432"/>
      </w:pPr>
      <w:r>
        <w:t>Wu, J., Wang, J., Nicholas, S., Maitland, E., &amp; Fan, Q. (2020). Application of big data technology for COVID-19 prevention and control in China: Lessons and recommendations. Journal of Medical Internet Research, 22(10), e21980.</w:t>
      </w:r>
    </w:p>
    <w:sectPr w:rsidR="00FC693F" w:rsidRPr="0006063C" w:rsidSect="00034616">
      <w:headerReference w:type="default" r:id="rId18"/>
      <w:footerReference w:type="default" r:id="rId1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LaVon Thomas | CIS421 Database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RoyalDB | Implementation and Administration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