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73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9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lab10 и файл lab10-1.asm (рис. 1)</w:t>
      </w:r>
    </w:p>
    <w:p>
      <w:pPr>
        <w:pStyle w:val="CaptionedFigure"/>
      </w:pPr>
      <w:bookmarkStart w:id="24" w:name="fig:001"/>
      <w:r>
        <w:drawing>
          <wp:inline>
            <wp:extent cx="5334000" cy="512356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текст листинга (рис. 2)</w:t>
      </w:r>
    </w:p>
    <w:p>
      <w:pPr>
        <w:pStyle w:val="CaptionedFigure"/>
      </w:pPr>
      <w:bookmarkStart w:id="28" w:name="fig:002"/>
      <w:r>
        <w:drawing>
          <wp:inline>
            <wp:extent cx="5257800" cy="8585200"/>
            <wp:effectExtent b="0" l="0" r="0" t="0"/>
            <wp:docPr descr="Рис. 2: листинг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58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листинг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(рис. 3)</w:t>
      </w:r>
    </w:p>
    <w:p>
      <w:pPr>
        <w:pStyle w:val="CaptionedFigure"/>
      </w:pPr>
      <w:bookmarkStart w:id="32" w:name="fig:003"/>
      <w:r>
        <w:drawing>
          <wp:inline>
            <wp:extent cx="5334000" cy="671748"/>
            <wp:effectExtent b="0" l="0" r="0" t="0"/>
            <wp:docPr descr="Рис. 3: 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Меняю текст программы, чтобы она решала выражение f(g(x)). (рис. 4)</w:t>
      </w:r>
    </w:p>
    <w:p>
      <w:pPr>
        <w:pStyle w:val="CaptionedFigure"/>
      </w:pPr>
      <w:bookmarkStart w:id="36" w:name="fig:004"/>
      <w:r>
        <w:drawing>
          <wp:inline>
            <wp:extent cx="3975100" cy="12484100"/>
            <wp:effectExtent b="0" l="0" r="0" t="0"/>
            <wp:docPr descr="Рис. 4: внесение изменен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48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внесение изменений</w:t>
      </w:r>
    </w:p>
    <w:p>
      <w:pPr>
        <w:numPr>
          <w:ilvl w:val="0"/>
          <w:numId w:val="1005"/>
        </w:numPr>
        <w:pStyle w:val="Compact"/>
      </w:pPr>
      <w:r>
        <w:t xml:space="preserve">Запускаю измененную программу (рис. 5)</w:t>
      </w:r>
    </w:p>
    <w:p>
      <w:pPr>
        <w:pStyle w:val="CaptionedFigure"/>
      </w:pPr>
      <w:bookmarkStart w:id="40" w:name="fig:005"/>
      <w:r>
        <w:drawing>
          <wp:inline>
            <wp:extent cx="5334000" cy="1032884"/>
            <wp:effectExtent b="0" l="0" r="0" t="0"/>
            <wp:docPr descr="Рис. 5: запус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</w:t>
      </w:r>
    </w:p>
    <w:p>
      <w:pPr>
        <w:numPr>
          <w:ilvl w:val="0"/>
          <w:numId w:val="1006"/>
        </w:numPr>
        <w:pStyle w:val="Compact"/>
      </w:pPr>
      <w:r>
        <w:t xml:space="preserve">Создаю файл lab10-2.asm и вписываю туда Листинг 10.2(рис. 6)</w:t>
      </w:r>
    </w:p>
    <w:p>
      <w:pPr>
        <w:pStyle w:val="CaptionedFigure"/>
      </w:pPr>
      <w:bookmarkStart w:id="44" w:name="fig:006"/>
      <w:r>
        <w:drawing>
          <wp:inline>
            <wp:extent cx="4152900" cy="5511800"/>
            <wp:effectExtent b="0" l="0" r="0" t="0"/>
            <wp:docPr descr="Рис. 6: ввод листинг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ввод листинга</w:t>
      </w:r>
    </w:p>
    <w:p>
      <w:pPr>
        <w:numPr>
          <w:ilvl w:val="0"/>
          <w:numId w:val="1007"/>
        </w:numPr>
        <w:pStyle w:val="Compact"/>
      </w:pPr>
      <w:r>
        <w:t xml:space="preserve">Запускаю файл второй программы в отладчик gdb. (рис. 7)</w:t>
      </w:r>
    </w:p>
    <w:p>
      <w:pPr>
        <w:pStyle w:val="CaptionedFigure"/>
      </w:pPr>
      <w:bookmarkStart w:id="48" w:name="fig:007"/>
      <w:r>
        <w:drawing>
          <wp:inline>
            <wp:extent cx="5334000" cy="2751505"/>
            <wp:effectExtent b="0" l="0" r="0" t="0"/>
            <wp:docPr descr="Рис. 7: отладчик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отладчик</w:t>
      </w:r>
    </w:p>
    <w:p>
      <w:pPr>
        <w:numPr>
          <w:ilvl w:val="0"/>
          <w:numId w:val="1008"/>
        </w:numPr>
        <w:pStyle w:val="Compact"/>
      </w:pPr>
      <w:r>
        <w:t xml:space="preserve">Ставлю брекпоинт на метку _start и запускаю программу(рис. 8)</w:t>
      </w:r>
    </w:p>
    <w:p>
      <w:pPr>
        <w:pStyle w:val="CaptionedFigure"/>
      </w:pPr>
      <w:bookmarkStart w:id="52" w:name="fig:008"/>
      <w:r>
        <w:drawing>
          <wp:inline>
            <wp:extent cx="5334000" cy="868325"/>
            <wp:effectExtent b="0" l="0" r="0" t="0"/>
            <wp:docPr descr="Рис. 8: брекпоинт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брекпоинт</w:t>
      </w:r>
    </w:p>
    <w:p>
      <w:pPr>
        <w:numPr>
          <w:ilvl w:val="0"/>
          <w:numId w:val="1009"/>
        </w:numPr>
        <w:pStyle w:val="Compact"/>
      </w:pPr>
      <w:r>
        <w:t xml:space="preserve">Просматриваю дисассимплированный код программы, начиная с метки.(рис. 9)</w:t>
      </w:r>
    </w:p>
    <w:p>
      <w:pPr>
        <w:pStyle w:val="CaptionedFigure"/>
      </w:pPr>
      <w:bookmarkStart w:id="56" w:name="fig:009"/>
      <w:r>
        <w:drawing>
          <wp:inline>
            <wp:extent cx="5334000" cy="3353494"/>
            <wp:effectExtent b="0" l="0" r="0" t="0"/>
            <wp:docPr descr="Рис. 9: дисассимплированный код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дисассимплированный код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переключаюсь на intel’овское отображение синтаксиса. Отличие заключается в командах, в диссамилированном отображении в командах используют % и $, а в Intel отображение эти символы не используются. (рис. 10)</w:t>
      </w:r>
    </w:p>
    <w:p>
      <w:pPr>
        <w:pStyle w:val="CaptionedFigure"/>
      </w:pPr>
      <w:bookmarkStart w:id="60" w:name="fig:010"/>
      <w:r>
        <w:drawing>
          <wp:inline>
            <wp:extent cx="5334000" cy="3965713"/>
            <wp:effectExtent b="0" l="0" r="0" t="0"/>
            <wp:docPr descr="Рис. 10: Intel’овское отображение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Intel’овское отображение</w:t>
      </w:r>
    </w:p>
    <w:p>
      <w:pPr>
        <w:numPr>
          <w:ilvl w:val="0"/>
          <w:numId w:val="1011"/>
        </w:numPr>
        <w:pStyle w:val="Compact"/>
      </w:pPr>
      <w:r>
        <w:t xml:space="preserve">Для удобства включаю режим псевдографики. (рис. 11)</w:t>
      </w:r>
    </w:p>
    <w:p>
      <w:pPr>
        <w:pStyle w:val="CaptionedFigure"/>
      </w:pPr>
      <w:bookmarkStart w:id="64" w:name="fig:011"/>
      <w:r>
        <w:drawing>
          <wp:inline>
            <wp:extent cx="5334000" cy="1722437"/>
            <wp:effectExtent b="0" l="0" r="0" t="0"/>
            <wp:docPr descr="Рис. 11: режим псевдографи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режим псевдографики</w:t>
      </w:r>
    </w:p>
    <w:p>
      <w:pPr>
        <w:numPr>
          <w:ilvl w:val="0"/>
          <w:numId w:val="1012"/>
        </w:numPr>
        <w:pStyle w:val="Compact"/>
      </w:pPr>
      <w:r>
        <w:t xml:space="preserve">Посматриваю наличие меток и добавляю еще одну метку на предпоследнюю инструкцию. (рис. 12)</w:t>
      </w:r>
    </w:p>
    <w:p>
      <w:pPr>
        <w:pStyle w:val="CaptionedFigure"/>
      </w:pPr>
      <w:bookmarkStart w:id="68" w:name="fig:012"/>
      <w:r>
        <w:drawing>
          <wp:inline>
            <wp:extent cx="5334000" cy="2073251"/>
            <wp:effectExtent b="0" l="0" r="0" t="0"/>
            <wp:docPr descr="Рис. 12: Наличие меток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Наличие меток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si посматриваю регистры и изменяю их (рис. 13)</w:t>
      </w:r>
    </w:p>
    <w:p>
      <w:pPr>
        <w:pStyle w:val="CaptionedFigure"/>
      </w:pPr>
      <w:bookmarkStart w:id="72" w:name="fig:013"/>
      <w:r>
        <w:drawing>
          <wp:inline>
            <wp:extent cx="4724400" cy="850900"/>
            <wp:effectExtent b="0" l="0" r="0" t="0"/>
            <wp:docPr descr="Рис. 13: просмотр регистр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просмотр регистров</w:t>
      </w:r>
    </w:p>
    <w:p>
      <w:pPr>
        <w:numPr>
          <w:ilvl w:val="0"/>
          <w:numId w:val="1014"/>
        </w:numPr>
        <w:pStyle w:val="Compact"/>
      </w:pPr>
      <w:r>
        <w:t xml:space="preserve">Смотрю значение второй переменной msg2. (рис. 14)</w:t>
      </w:r>
    </w:p>
    <w:p>
      <w:pPr>
        <w:pStyle w:val="CaptionedFigure"/>
      </w:pPr>
      <w:bookmarkStart w:id="76" w:name="fig:014"/>
      <w:r>
        <w:drawing>
          <wp:inline>
            <wp:extent cx="4635500" cy="647700"/>
            <wp:effectExtent b="0" l="0" r="0" t="0"/>
            <wp:docPr descr="Рис. 14: Просмотр значения переменной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Просмотр значения переменной</w:t>
      </w:r>
    </w:p>
    <w:p>
      <w:pPr>
        <w:numPr>
          <w:ilvl w:val="0"/>
          <w:numId w:val="1015"/>
        </w:numPr>
        <w:pStyle w:val="Compact"/>
      </w:pPr>
      <w:r>
        <w:t xml:space="preserve">С помощью команды set меняю значение переменной msg1. (рис. 15)</w:t>
      </w:r>
    </w:p>
    <w:p>
      <w:pPr>
        <w:pStyle w:val="CaptionedFigure"/>
      </w:pPr>
      <w:bookmarkStart w:id="80" w:name="fig:015"/>
      <w:r>
        <w:drawing>
          <wp:inline>
            <wp:extent cx="5334000" cy="1011413"/>
            <wp:effectExtent b="0" l="0" r="0" t="0"/>
            <wp:docPr descr="Рис. 15: Изменение значения переменной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Изменение значения переменной</w:t>
      </w:r>
    </w:p>
    <w:p>
      <w:pPr>
        <w:numPr>
          <w:ilvl w:val="0"/>
          <w:numId w:val="1016"/>
        </w:numPr>
        <w:pStyle w:val="Compact"/>
      </w:pPr>
      <w:r>
        <w:t xml:space="preserve">Меняю переменную msg2.(рис. 16)</w:t>
      </w:r>
    </w:p>
    <w:p>
      <w:pPr>
        <w:pStyle w:val="CaptionedFigure"/>
      </w:pPr>
      <w:bookmarkStart w:id="84" w:name="fig:016"/>
      <w:r>
        <w:drawing>
          <wp:inline>
            <wp:extent cx="4241800" cy="1092200"/>
            <wp:effectExtent b="0" l="0" r="0" t="0"/>
            <wp:docPr descr="Рис. 16: Изменение msg2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msg2</w:t>
      </w:r>
    </w:p>
    <w:p>
      <w:pPr>
        <w:numPr>
          <w:ilvl w:val="0"/>
          <w:numId w:val="1017"/>
        </w:numPr>
        <w:pStyle w:val="Compact"/>
      </w:pPr>
      <w:r>
        <w:t xml:space="preserve">Вывожу значение регистров ecx и eax (рис. 17)</w:t>
      </w:r>
    </w:p>
    <w:p>
      <w:pPr>
        <w:pStyle w:val="CaptionedFigure"/>
      </w:pPr>
      <w:bookmarkStart w:id="88" w:name="fig:017"/>
      <w:r>
        <w:drawing>
          <wp:inline>
            <wp:extent cx="2146300" cy="2413000"/>
            <wp:effectExtent b="0" l="0" r="0" t="0"/>
            <wp:docPr descr="Рис. 17: Значение регистров ecx и eax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Значение регистров ecx и eax</w:t>
      </w:r>
    </w:p>
    <w:p>
      <w:pPr>
        <w:numPr>
          <w:ilvl w:val="0"/>
          <w:numId w:val="1018"/>
        </w:numPr>
        <w:pStyle w:val="Compact"/>
      </w:pPr>
      <w:r>
        <w:t xml:space="preserve">Меняю значение регистра ebx. Команда выводит два разных значения так как в первый раз мы вносим значение 2, а во второй раз регистр равен двум, поэтому и значения разные. (рис. 18)</w:t>
      </w:r>
    </w:p>
    <w:p>
      <w:pPr>
        <w:pStyle w:val="CaptionedFigure"/>
      </w:pPr>
      <w:bookmarkStart w:id="92" w:name="fig:018"/>
      <w:r>
        <w:drawing>
          <wp:inline>
            <wp:extent cx="2171700" cy="1549400"/>
            <wp:effectExtent b="0" l="0" r="0" t="0"/>
            <wp:docPr descr="Рис. 18: Значение регистров ebx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Значение регистров ebx</w:t>
      </w:r>
    </w:p>
    <w:p>
      <w:pPr>
        <w:numPr>
          <w:ilvl w:val="0"/>
          <w:numId w:val="1019"/>
        </w:numPr>
        <w:pStyle w:val="Compact"/>
      </w:pPr>
      <w:r>
        <w:t xml:space="preserve">Копирую файл lab9-2.asm и переименовываю его. Запускаю файл в отладчике и указываю аргументы.(рис. 19)</w:t>
      </w:r>
    </w:p>
    <w:p>
      <w:pPr>
        <w:pStyle w:val="CaptionedFigure"/>
      </w:pPr>
      <w:bookmarkStart w:id="96" w:name="fig:019"/>
      <w:r>
        <w:drawing>
          <wp:inline>
            <wp:extent cx="5334000" cy="2085693"/>
            <wp:effectExtent b="0" l="0" r="0" t="0"/>
            <wp:docPr descr="Рис. 19: Запуск файла в отладчике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Запуск файла в отладчике</w:t>
      </w:r>
    </w:p>
    <w:p>
      <w:pPr>
        <w:numPr>
          <w:ilvl w:val="0"/>
          <w:numId w:val="1020"/>
        </w:numPr>
        <w:pStyle w:val="Compact"/>
      </w:pPr>
      <w:r>
        <w:t xml:space="preserve">Ставлю метку на _start и запускаю файл.(рис. 20)</w:t>
      </w:r>
    </w:p>
    <w:p>
      <w:pPr>
        <w:pStyle w:val="CaptionedFigure"/>
      </w:pPr>
      <w:bookmarkStart w:id="100" w:name="fig:020"/>
      <w:r>
        <w:drawing>
          <wp:inline>
            <wp:extent cx="5334000" cy="2835722"/>
            <wp:effectExtent b="0" l="0" r="0" t="0"/>
            <wp:docPr descr="Рис. 20: Запуск файла lab10-3 через метку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Запуск файла lab10-3 через метку</w:t>
      </w:r>
    </w:p>
    <w:p>
      <w:pPr>
        <w:numPr>
          <w:ilvl w:val="0"/>
          <w:numId w:val="1021"/>
        </w:numPr>
        <w:pStyle w:val="Compact"/>
      </w:pPr>
      <w:r>
        <w:t xml:space="preserve">Проверяю адрес вершины стека и убеждаюсь, что там хранится 5 элементов.(рис. 21)</w:t>
      </w:r>
    </w:p>
    <w:p>
      <w:pPr>
        <w:pStyle w:val="CaptionedFigure"/>
      </w:pPr>
      <w:bookmarkStart w:id="104" w:name="fig:021"/>
      <w:r>
        <w:drawing>
          <wp:inline>
            <wp:extent cx="4165600" cy="660400"/>
            <wp:effectExtent b="0" l="0" r="0" t="0"/>
            <wp:docPr descr="Рис. 21: Адрес вершины стека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Адрес вершины стека</w:t>
      </w:r>
    </w:p>
    <w:p>
      <w:pPr>
        <w:numPr>
          <w:ilvl w:val="0"/>
          <w:numId w:val="1022"/>
        </w:numPr>
        <w:pStyle w:val="Compact"/>
      </w:pPr>
      <w:r>
        <w:t xml:space="preserve">Смотрю все позиции стека. По первому адрему хранится адрес, в остальных адресах хранятся элементы. Элементы расположены с интервалом в 4 единицы, так как стек может хранить до 4 байт, и для того чтобы данные сохранялись нормально и без помех, компьютер использует новый стек для новой информации. (рис. 22)</w:t>
      </w:r>
    </w:p>
    <w:p>
      <w:pPr>
        <w:pStyle w:val="CaptionedFigure"/>
      </w:pPr>
      <w:bookmarkStart w:id="108" w:name="fig:022"/>
      <w:r>
        <w:drawing>
          <wp:inline>
            <wp:extent cx="5334000" cy="1682956"/>
            <wp:effectExtent b="0" l="0" r="0" t="0"/>
            <wp:docPr descr="Рис. 22: Все позиции стека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Все позиции стека</w:t>
      </w:r>
    </w:p>
    <w:bookmarkEnd w:id="109"/>
    <w:bookmarkStart w:id="13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3"/>
        </w:numPr>
        <w:pStyle w:val="Compact"/>
      </w:pPr>
      <w:r>
        <w:t xml:space="preserve">Преобразовываю программу из лабораторной работы №9 и реализовываю вычисления как подпрограмму.(рис. 23)</w:t>
      </w:r>
    </w:p>
    <w:p>
      <w:pPr>
        <w:pStyle w:val="CaptionedFigure"/>
      </w:pPr>
      <w:bookmarkStart w:id="113" w:name="fig:023"/>
      <w:r>
        <w:drawing>
          <wp:inline>
            <wp:extent cx="5334000" cy="10967803"/>
            <wp:effectExtent b="0" l="0" r="0" t="0"/>
            <wp:docPr descr="Рис. 23: Текст программы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Текст программы</w:t>
      </w:r>
    </w:p>
    <w:p>
      <w:pPr>
        <w:numPr>
          <w:ilvl w:val="0"/>
          <w:numId w:val="1024"/>
        </w:numPr>
        <w:pStyle w:val="Compact"/>
      </w:pPr>
      <w:r>
        <w:t xml:space="preserve">Создаю исполняемый файл и проверяю его работу. (рис. 24)</w:t>
      </w:r>
    </w:p>
    <w:p>
      <w:pPr>
        <w:pStyle w:val="CaptionedFigure"/>
      </w:pPr>
      <w:bookmarkStart w:id="117" w:name="fig:024"/>
      <w:r>
        <w:drawing>
          <wp:inline>
            <wp:extent cx="5334000" cy="663365"/>
            <wp:effectExtent b="0" l="0" r="0" t="0"/>
            <wp:docPr descr="Рис. 24: Запуск программы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Запуск программы</w:t>
      </w:r>
    </w:p>
    <w:p>
      <w:pPr>
        <w:numPr>
          <w:ilvl w:val="0"/>
          <w:numId w:val="1025"/>
        </w:numPr>
        <w:pStyle w:val="Compact"/>
      </w:pPr>
      <w:r>
        <w:t xml:space="preserve">Ввожу в файл Листинг 10.3 (рис. 25)</w:t>
      </w:r>
    </w:p>
    <w:p>
      <w:pPr>
        <w:pStyle w:val="CaptionedFigure"/>
      </w:pPr>
      <w:bookmarkStart w:id="121" w:name="fig:025"/>
      <w:r>
        <w:drawing>
          <wp:inline>
            <wp:extent cx="4013200" cy="6261100"/>
            <wp:effectExtent b="0" l="0" r="0" t="0"/>
            <wp:docPr descr="Рис. 25: Текст програмы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626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Текст програмы</w:t>
      </w:r>
    </w:p>
    <w:p>
      <w:pPr>
        <w:numPr>
          <w:ilvl w:val="0"/>
          <w:numId w:val="1026"/>
        </w:numPr>
        <w:pStyle w:val="Compact"/>
      </w:pPr>
      <w:r>
        <w:t xml:space="preserve">Запускаю программу и вижу, что результат вычисления неверный(рис. 26)</w:t>
      </w:r>
    </w:p>
    <w:p>
      <w:pPr>
        <w:pStyle w:val="CaptionedFigure"/>
      </w:pPr>
      <w:bookmarkStart w:id="125" w:name="fig:026"/>
      <w:r>
        <w:drawing>
          <wp:inline>
            <wp:extent cx="5334000" cy="620708"/>
            <wp:effectExtent b="0" l="0" r="0" t="0"/>
            <wp:docPr descr="Рис. 26: Запуск программы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Запуск программы</w:t>
      </w:r>
    </w:p>
    <w:p>
      <w:pPr>
        <w:numPr>
          <w:ilvl w:val="0"/>
          <w:numId w:val="1027"/>
        </w:numPr>
        <w:pStyle w:val="Compact"/>
      </w:pPr>
      <w:r>
        <w:t xml:space="preserve">После появления ошибки запускаю программу в отладчике (рис. 27)</w:t>
      </w:r>
    </w:p>
    <w:p>
      <w:pPr>
        <w:pStyle w:val="CaptionedFigure"/>
      </w:pPr>
      <w:bookmarkStart w:id="129" w:name="fig:027"/>
      <w:r>
        <w:drawing>
          <wp:inline>
            <wp:extent cx="5334000" cy="4919644"/>
            <wp:effectExtent b="0" l="0" r="0" t="0"/>
            <wp:docPr descr="Рис. 27: Запуск программы в отладчике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Запуск программы в отладчике</w:t>
      </w:r>
    </w:p>
    <w:p>
      <w:pPr>
        <w:numPr>
          <w:ilvl w:val="0"/>
          <w:numId w:val="1028"/>
        </w:numPr>
        <w:pStyle w:val="Compact"/>
      </w:pPr>
      <w:r>
        <w:t xml:space="preserve">Открываю регистры и, проанализировав их, понимаю, что некоторые регистры стоят не на своих местах и исправляю это (рис. 28)</w:t>
      </w:r>
    </w:p>
    <w:p>
      <w:pPr>
        <w:pStyle w:val="CaptionedFigure"/>
      </w:pPr>
      <w:bookmarkStart w:id="133" w:name="fig:028"/>
      <w:r>
        <w:drawing>
          <wp:inline>
            <wp:extent cx="5334000" cy="5825289"/>
            <wp:effectExtent b="0" l="0" r="0" t="0"/>
            <wp:docPr descr="Рис. 28: Анализ регистров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Анализ регистров</w:t>
      </w:r>
    </w:p>
    <w:p>
      <w:pPr>
        <w:numPr>
          <w:ilvl w:val="0"/>
          <w:numId w:val="1029"/>
        </w:numPr>
        <w:pStyle w:val="Compact"/>
      </w:pPr>
      <w:r>
        <w:t xml:space="preserve">Изменяю регистры и запускаю программу, программа вывела ответ 25, то есть все работает правильно. (рис. 29)</w:t>
      </w:r>
    </w:p>
    <w:p>
      <w:pPr>
        <w:pStyle w:val="CaptionedFigure"/>
      </w:pPr>
      <w:bookmarkStart w:id="137" w:name="fig:029"/>
      <w:r>
        <w:drawing>
          <wp:inline>
            <wp:extent cx="5334000" cy="627895"/>
            <wp:effectExtent b="0" l="0" r="0" t="0"/>
            <wp:docPr descr="Рис. 29: Повторный запуск программ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Повторный запуск программы</w:t>
      </w:r>
    </w:p>
    <w:bookmarkEnd w:id="138"/>
    <w:bookmarkStart w:id="1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подпрограмм, ознакомилась с методами отладки при помощи GDB и его основными возможностями.</w:t>
      </w:r>
    </w:p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9" Target="media/rId29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Воробчук Лилия Андреевна</dc:creator>
  <dc:language>ru-RU</dc:language>
  <cp:keywords/>
  <dcterms:created xsi:type="dcterms:W3CDTF">2022-12-16T13:27:45Z</dcterms:created>
  <dcterms:modified xsi:type="dcterms:W3CDTF">2022-12-16T13:27:45Z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