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EC91F" w14:textId="4296AA88" w:rsidR="004F2324" w:rsidRPr="004F2324" w:rsidRDefault="004F2324" w:rsidP="004F2324">
      <w:pPr>
        <w:rPr>
          <w:rFonts w:ascii="Times New Roman" w:hAnsi="Times New Roman" w:cs="Times New Roman"/>
          <w:b/>
          <w:bCs/>
          <w:sz w:val="28"/>
          <w:szCs w:val="28"/>
        </w:rPr>
      </w:pPr>
      <w:r w:rsidRPr="004F2324">
        <w:rPr>
          <w:rFonts w:ascii="Times New Roman" w:hAnsi="Times New Roman" w:cs="Times New Roman"/>
          <w:b/>
          <w:bCs/>
          <w:sz w:val="28"/>
          <w:szCs w:val="28"/>
        </w:rPr>
        <w:t>Dataset Name and Source</w:t>
      </w:r>
    </w:p>
    <w:p w14:paraId="2E2676EA" w14:textId="77777777" w:rsidR="004F2324" w:rsidRPr="004F2324" w:rsidRDefault="004F2324" w:rsidP="004F2324">
      <w:pPr>
        <w:rPr>
          <w:rFonts w:ascii="Times New Roman" w:hAnsi="Times New Roman" w:cs="Times New Roman"/>
          <w:sz w:val="24"/>
          <w:szCs w:val="24"/>
        </w:rPr>
      </w:pPr>
      <w:r w:rsidRPr="004F2324">
        <w:rPr>
          <w:rFonts w:ascii="Times New Roman" w:hAnsi="Times New Roman" w:cs="Times New Roman"/>
          <w:sz w:val="24"/>
          <w:szCs w:val="24"/>
        </w:rPr>
        <w:t>Dataset Name: Indian Personal Finance and Spending Habits</w:t>
      </w:r>
    </w:p>
    <w:p w14:paraId="58F4641C" w14:textId="7EBE100B" w:rsidR="00A83325" w:rsidRPr="004F2324" w:rsidRDefault="004F2324" w:rsidP="004F2324">
      <w:pPr>
        <w:rPr>
          <w:rFonts w:ascii="Times New Roman" w:hAnsi="Times New Roman" w:cs="Times New Roman"/>
          <w:sz w:val="24"/>
          <w:szCs w:val="24"/>
        </w:rPr>
      </w:pPr>
      <w:r w:rsidRPr="004F2324">
        <w:rPr>
          <w:rFonts w:ascii="Times New Roman" w:hAnsi="Times New Roman" w:cs="Times New Roman"/>
          <w:sz w:val="24"/>
          <w:szCs w:val="24"/>
        </w:rPr>
        <w:t xml:space="preserve">Source: </w:t>
      </w:r>
      <w:hyperlink r:id="rId5" w:history="1">
        <w:r w:rsidRPr="004F2324">
          <w:rPr>
            <w:rStyle w:val="Hyperlink"/>
            <w:rFonts w:ascii="Times New Roman" w:hAnsi="Times New Roman" w:cs="Times New Roman"/>
            <w:sz w:val="24"/>
            <w:szCs w:val="24"/>
          </w:rPr>
          <w:t>https://www.kaggle.com/datasets/shriyashjagtap/indian-personal-finance-and-spending-habits</w:t>
        </w:r>
      </w:hyperlink>
    </w:p>
    <w:p w14:paraId="04228F71" w14:textId="1EF15291" w:rsidR="004F2324" w:rsidRPr="0008265F" w:rsidRDefault="004F2324" w:rsidP="004F2324">
      <w:pPr>
        <w:rPr>
          <w:rFonts w:ascii="Times New Roman" w:hAnsi="Times New Roman" w:cs="Times New Roman"/>
          <w:b/>
          <w:bCs/>
          <w:sz w:val="28"/>
          <w:szCs w:val="28"/>
        </w:rPr>
      </w:pPr>
      <w:r w:rsidRPr="0008265F">
        <w:rPr>
          <w:rFonts w:ascii="Times New Roman" w:hAnsi="Times New Roman" w:cs="Times New Roman"/>
          <w:b/>
          <w:bCs/>
          <w:sz w:val="28"/>
          <w:szCs w:val="28"/>
        </w:rPr>
        <w:t>Objectives</w:t>
      </w:r>
    </w:p>
    <w:p w14:paraId="3CE59F45" w14:textId="77777777" w:rsidR="004F2324" w:rsidRPr="0008265F" w:rsidRDefault="004F2324" w:rsidP="004F2324">
      <w:pPr>
        <w:jc w:val="both"/>
        <w:rPr>
          <w:rFonts w:ascii="Times New Roman" w:hAnsi="Times New Roman" w:cs="Times New Roman"/>
          <w:sz w:val="24"/>
          <w:szCs w:val="24"/>
        </w:rPr>
      </w:pPr>
      <w:r w:rsidRPr="0008265F">
        <w:rPr>
          <w:rFonts w:ascii="Times New Roman" w:hAnsi="Times New Roman" w:cs="Times New Roman"/>
          <w:sz w:val="24"/>
          <w:szCs w:val="24"/>
        </w:rPr>
        <w:t>1. Assess Financial Health and Income Drivers</w:t>
      </w:r>
    </w:p>
    <w:p w14:paraId="501BDCE7" w14:textId="132BE53A" w:rsidR="004F2324" w:rsidRPr="0008265F" w:rsidRDefault="004F2324" w:rsidP="004F2324">
      <w:pPr>
        <w:jc w:val="both"/>
        <w:rPr>
          <w:rFonts w:ascii="Times New Roman" w:hAnsi="Times New Roman" w:cs="Times New Roman"/>
          <w:sz w:val="24"/>
          <w:szCs w:val="24"/>
        </w:rPr>
      </w:pPr>
      <w:r w:rsidRPr="0008265F">
        <w:rPr>
          <w:rFonts w:ascii="Times New Roman" w:hAnsi="Times New Roman" w:cs="Times New Roman"/>
          <w:sz w:val="24"/>
          <w:szCs w:val="24"/>
        </w:rPr>
        <w:t>To analyse the distribution of Total Income and Total Expenses across key demographic segments such as Occupation and City Tier, and to establish the base level of Actual Savings for the entire population.</w:t>
      </w:r>
    </w:p>
    <w:p w14:paraId="22805999" w14:textId="77777777" w:rsidR="004F2324" w:rsidRPr="0008265F" w:rsidRDefault="004F2324" w:rsidP="004F2324">
      <w:pPr>
        <w:jc w:val="both"/>
        <w:rPr>
          <w:rFonts w:ascii="Times New Roman" w:hAnsi="Times New Roman" w:cs="Times New Roman"/>
          <w:sz w:val="24"/>
          <w:szCs w:val="24"/>
        </w:rPr>
      </w:pPr>
      <w:r w:rsidRPr="0008265F">
        <w:rPr>
          <w:rFonts w:ascii="Times New Roman" w:hAnsi="Times New Roman" w:cs="Times New Roman"/>
          <w:sz w:val="24"/>
          <w:szCs w:val="24"/>
        </w:rPr>
        <w:t>2. Identify Potential Savings Opportunities (The Gap Analysis)</w:t>
      </w:r>
    </w:p>
    <w:p w14:paraId="30FA10E2" w14:textId="77777777" w:rsidR="004F2324" w:rsidRPr="0008265F" w:rsidRDefault="004F2324" w:rsidP="004F2324">
      <w:pPr>
        <w:jc w:val="both"/>
        <w:rPr>
          <w:rFonts w:ascii="Times New Roman" w:hAnsi="Times New Roman" w:cs="Times New Roman"/>
          <w:sz w:val="24"/>
          <w:szCs w:val="24"/>
        </w:rPr>
      </w:pPr>
      <w:r w:rsidRPr="0008265F">
        <w:rPr>
          <w:rFonts w:ascii="Times New Roman" w:hAnsi="Times New Roman" w:cs="Times New Roman"/>
          <w:sz w:val="24"/>
          <w:szCs w:val="24"/>
        </w:rPr>
        <w:t>To pinpoint specific expense categories (Groceries, Transport, Eating Out, etc.) and demographic groups (Age Group, City Tier) that contribute the most to the Potential Savings column, highlighting the largest areas of spending inefficiency.</w:t>
      </w:r>
    </w:p>
    <w:p w14:paraId="6B68E682" w14:textId="77777777" w:rsidR="004F2324" w:rsidRPr="0008265F" w:rsidRDefault="004F2324" w:rsidP="004F2324">
      <w:pPr>
        <w:jc w:val="both"/>
        <w:rPr>
          <w:rFonts w:ascii="Times New Roman" w:hAnsi="Times New Roman" w:cs="Times New Roman"/>
          <w:sz w:val="24"/>
          <w:szCs w:val="24"/>
        </w:rPr>
      </w:pPr>
      <w:r w:rsidRPr="0008265F">
        <w:rPr>
          <w:rFonts w:ascii="Times New Roman" w:hAnsi="Times New Roman" w:cs="Times New Roman"/>
          <w:sz w:val="24"/>
          <w:szCs w:val="24"/>
        </w:rPr>
        <w:t>3. Deep Dive into Spending Habits</w:t>
      </w:r>
    </w:p>
    <w:p w14:paraId="325FEA7C" w14:textId="77777777" w:rsidR="004F2324" w:rsidRPr="0008265F" w:rsidRDefault="004F2324" w:rsidP="004F2324">
      <w:pPr>
        <w:jc w:val="both"/>
        <w:rPr>
          <w:rFonts w:ascii="Times New Roman" w:hAnsi="Times New Roman" w:cs="Times New Roman"/>
          <w:sz w:val="24"/>
          <w:szCs w:val="24"/>
        </w:rPr>
      </w:pPr>
      <w:r w:rsidRPr="0008265F">
        <w:rPr>
          <w:rFonts w:ascii="Times New Roman" w:hAnsi="Times New Roman" w:cs="Times New Roman"/>
          <w:sz w:val="24"/>
          <w:szCs w:val="24"/>
        </w:rPr>
        <w:t>To provide a clear, proportional breakdown of all Expense Categories (Rent, Loan Repayment, Groceries, etc.) as a percentage of Total Expenses, allowing users to immediately see where money is being allocated.</w:t>
      </w:r>
    </w:p>
    <w:p w14:paraId="11B11524" w14:textId="77777777" w:rsidR="004F2324" w:rsidRPr="0008265F" w:rsidRDefault="004F2324" w:rsidP="004F2324">
      <w:pPr>
        <w:jc w:val="both"/>
        <w:rPr>
          <w:rFonts w:ascii="Times New Roman" w:hAnsi="Times New Roman" w:cs="Times New Roman"/>
          <w:sz w:val="24"/>
          <w:szCs w:val="24"/>
        </w:rPr>
      </w:pPr>
      <w:r w:rsidRPr="0008265F">
        <w:rPr>
          <w:rFonts w:ascii="Times New Roman" w:hAnsi="Times New Roman" w:cs="Times New Roman"/>
          <w:sz w:val="24"/>
          <w:szCs w:val="24"/>
        </w:rPr>
        <w:t>4. Evaluate Savings Performance and Strategy</w:t>
      </w:r>
    </w:p>
    <w:p w14:paraId="5184CAC9" w14:textId="77777777" w:rsidR="004F2324" w:rsidRPr="0008265F" w:rsidRDefault="004F2324" w:rsidP="004F2324">
      <w:pPr>
        <w:jc w:val="both"/>
        <w:rPr>
          <w:rFonts w:ascii="Times New Roman" w:hAnsi="Times New Roman" w:cs="Times New Roman"/>
          <w:sz w:val="24"/>
          <w:szCs w:val="24"/>
        </w:rPr>
      </w:pPr>
      <w:r w:rsidRPr="0008265F">
        <w:rPr>
          <w:rFonts w:ascii="Times New Roman" w:hAnsi="Times New Roman" w:cs="Times New Roman"/>
          <w:sz w:val="24"/>
          <w:szCs w:val="24"/>
        </w:rPr>
        <w:t>To compare the Desired Savings (the target) against the Actual Savings and the Disposable Income across different demographic filters, evaluating whether people are meeting their financial goals and to quantify the Savings Gap.</w:t>
      </w:r>
    </w:p>
    <w:p w14:paraId="48758901" w14:textId="672A8C2D" w:rsidR="004F2324" w:rsidRPr="004F2324" w:rsidRDefault="004F2324" w:rsidP="004F2324">
      <w:pPr>
        <w:jc w:val="both"/>
        <w:rPr>
          <w:rFonts w:ascii="Times New Roman" w:hAnsi="Times New Roman" w:cs="Times New Roman"/>
          <w:b/>
          <w:bCs/>
          <w:sz w:val="28"/>
          <w:szCs w:val="28"/>
        </w:rPr>
      </w:pPr>
      <w:r w:rsidRPr="004F2324">
        <w:rPr>
          <w:rFonts w:ascii="Times New Roman" w:hAnsi="Times New Roman" w:cs="Times New Roman"/>
          <w:b/>
          <w:bCs/>
          <w:sz w:val="28"/>
          <w:szCs w:val="28"/>
        </w:rPr>
        <w:t>Rationale / Problem Context</w:t>
      </w:r>
    </w:p>
    <w:p w14:paraId="1E3D3639" w14:textId="16A67EAA" w:rsidR="004F2324" w:rsidRDefault="004F2324" w:rsidP="004F2324">
      <w:pPr>
        <w:jc w:val="both"/>
        <w:rPr>
          <w:rFonts w:ascii="Times New Roman" w:hAnsi="Times New Roman" w:cs="Times New Roman"/>
          <w:sz w:val="24"/>
          <w:szCs w:val="24"/>
        </w:rPr>
      </w:pPr>
      <w:r w:rsidRPr="004F2324">
        <w:rPr>
          <w:rFonts w:ascii="Times New Roman" w:hAnsi="Times New Roman" w:cs="Times New Roman"/>
          <w:sz w:val="24"/>
          <w:szCs w:val="24"/>
        </w:rPr>
        <w:t>In India, personal finance behaviour is rapidly changing due to rising income levels, digital finance access, and lifestyle shifts. However, most individuals lack awareness of how their income is distributed or how debt and spending impact long-term stability. This study helps visualize financial habits across demographics to promote better planning and financial literacy.</w:t>
      </w:r>
    </w:p>
    <w:p w14:paraId="3045271B" w14:textId="7CC31377" w:rsidR="004F2324" w:rsidRPr="004F2324" w:rsidRDefault="004F2324" w:rsidP="004F2324">
      <w:pPr>
        <w:jc w:val="both"/>
        <w:rPr>
          <w:rFonts w:ascii="Times New Roman" w:hAnsi="Times New Roman" w:cs="Times New Roman"/>
          <w:b/>
          <w:bCs/>
          <w:sz w:val="28"/>
          <w:szCs w:val="28"/>
        </w:rPr>
      </w:pPr>
      <w:r w:rsidRPr="004F2324">
        <w:rPr>
          <w:rFonts w:ascii="Times New Roman" w:hAnsi="Times New Roman" w:cs="Times New Roman"/>
          <w:b/>
          <w:bCs/>
          <w:sz w:val="28"/>
          <w:szCs w:val="28"/>
        </w:rPr>
        <w:t>Key Insights &amp; Findings</w:t>
      </w:r>
    </w:p>
    <w:p w14:paraId="7EB6C979" w14:textId="1166310A" w:rsidR="004F2324" w:rsidRPr="004F2324" w:rsidRDefault="004F2324" w:rsidP="004F2324">
      <w:pPr>
        <w:jc w:val="both"/>
        <w:rPr>
          <w:rFonts w:ascii="Times New Roman" w:hAnsi="Times New Roman" w:cs="Times New Roman"/>
          <w:b/>
          <w:bCs/>
          <w:sz w:val="24"/>
          <w:szCs w:val="24"/>
        </w:rPr>
      </w:pPr>
      <w:r w:rsidRPr="004F2324">
        <w:rPr>
          <w:rFonts w:ascii="Times New Roman" w:hAnsi="Times New Roman" w:cs="Times New Roman"/>
          <w:b/>
          <w:bCs/>
          <w:sz w:val="24"/>
          <w:szCs w:val="24"/>
        </w:rPr>
        <w:t>1. Total Income vs Expenses:</w:t>
      </w:r>
    </w:p>
    <w:p w14:paraId="7C991327" w14:textId="02484211" w:rsidR="004F2324" w:rsidRPr="004F2324" w:rsidRDefault="004F2324" w:rsidP="004F2324">
      <w:pPr>
        <w:jc w:val="both"/>
        <w:rPr>
          <w:rFonts w:ascii="Times New Roman" w:hAnsi="Times New Roman" w:cs="Times New Roman"/>
          <w:sz w:val="24"/>
          <w:szCs w:val="24"/>
        </w:rPr>
      </w:pPr>
      <w:r w:rsidRPr="004F2324">
        <w:rPr>
          <w:rFonts w:ascii="Times New Roman" w:hAnsi="Times New Roman" w:cs="Times New Roman"/>
          <w:sz w:val="24"/>
          <w:szCs w:val="24"/>
        </w:rPr>
        <w:t>Total Income: ₹831.71M</w:t>
      </w:r>
    </w:p>
    <w:p w14:paraId="42068827" w14:textId="291B24F9" w:rsidR="004F2324" w:rsidRPr="004F2324" w:rsidRDefault="004F2324" w:rsidP="004F2324">
      <w:pPr>
        <w:jc w:val="both"/>
        <w:rPr>
          <w:rFonts w:ascii="Times New Roman" w:hAnsi="Times New Roman" w:cs="Times New Roman"/>
          <w:sz w:val="24"/>
          <w:szCs w:val="24"/>
        </w:rPr>
      </w:pPr>
      <w:r w:rsidRPr="004F2324">
        <w:rPr>
          <w:rFonts w:ascii="Times New Roman" w:hAnsi="Times New Roman" w:cs="Times New Roman"/>
          <w:sz w:val="24"/>
          <w:szCs w:val="24"/>
        </w:rPr>
        <w:t>Total Expenses: ₹618.76M</w:t>
      </w:r>
    </w:p>
    <w:p w14:paraId="0FA20F72" w14:textId="77777777" w:rsidR="004F2324" w:rsidRPr="004F2324" w:rsidRDefault="004F2324" w:rsidP="004F2324">
      <w:pPr>
        <w:jc w:val="both"/>
        <w:rPr>
          <w:rFonts w:ascii="Times New Roman" w:hAnsi="Times New Roman" w:cs="Times New Roman"/>
          <w:sz w:val="24"/>
          <w:szCs w:val="24"/>
        </w:rPr>
      </w:pPr>
      <w:r w:rsidRPr="004F2324">
        <w:rPr>
          <w:rFonts w:ascii="Times New Roman" w:hAnsi="Times New Roman" w:cs="Times New Roman"/>
          <w:sz w:val="24"/>
          <w:szCs w:val="24"/>
        </w:rPr>
        <w:t>Total Savings: ₹212.95M</w:t>
      </w:r>
    </w:p>
    <w:p w14:paraId="66CBB960" w14:textId="3690D432" w:rsidR="004F2324" w:rsidRPr="004F2324" w:rsidRDefault="004F2324" w:rsidP="004F2324">
      <w:pPr>
        <w:jc w:val="both"/>
        <w:rPr>
          <w:rFonts w:ascii="Times New Roman" w:hAnsi="Times New Roman" w:cs="Times New Roman"/>
          <w:sz w:val="24"/>
          <w:szCs w:val="24"/>
        </w:rPr>
      </w:pPr>
      <w:r w:rsidRPr="004F2324">
        <w:rPr>
          <w:rFonts w:ascii="Times New Roman" w:hAnsi="Times New Roman" w:cs="Times New Roman"/>
          <w:sz w:val="24"/>
          <w:szCs w:val="24"/>
        </w:rPr>
        <w:t>Indicates that around 25% of total income is saved, showing moderate financial discipline overall.</w:t>
      </w:r>
    </w:p>
    <w:p w14:paraId="26AEA66D" w14:textId="2CC3EBE1" w:rsidR="004F2324" w:rsidRPr="004F2324" w:rsidRDefault="004F2324" w:rsidP="004F2324">
      <w:pPr>
        <w:jc w:val="both"/>
        <w:rPr>
          <w:rFonts w:ascii="Times New Roman" w:hAnsi="Times New Roman" w:cs="Times New Roman"/>
          <w:b/>
          <w:bCs/>
          <w:sz w:val="24"/>
          <w:szCs w:val="24"/>
        </w:rPr>
      </w:pPr>
      <w:r w:rsidRPr="004F2324">
        <w:rPr>
          <w:rFonts w:ascii="Times New Roman" w:hAnsi="Times New Roman" w:cs="Times New Roman"/>
          <w:b/>
          <w:bCs/>
          <w:sz w:val="24"/>
          <w:szCs w:val="24"/>
        </w:rPr>
        <w:t>2. Spending Composition:</w:t>
      </w:r>
    </w:p>
    <w:p w14:paraId="706365C2" w14:textId="48D4F4E6" w:rsidR="004F2324" w:rsidRPr="004F2324" w:rsidRDefault="004F2324" w:rsidP="004F2324">
      <w:pPr>
        <w:jc w:val="both"/>
        <w:rPr>
          <w:rFonts w:ascii="Times New Roman" w:hAnsi="Times New Roman" w:cs="Times New Roman"/>
          <w:sz w:val="24"/>
          <w:szCs w:val="24"/>
        </w:rPr>
      </w:pPr>
      <w:r w:rsidRPr="004F2324">
        <w:rPr>
          <w:rFonts w:ascii="Times New Roman" w:hAnsi="Times New Roman" w:cs="Times New Roman"/>
          <w:sz w:val="24"/>
          <w:szCs w:val="24"/>
        </w:rPr>
        <w:lastRenderedPageBreak/>
        <w:t>Essentials (groceries, rent, transport) take up nearly 55–60% of total spending.</w:t>
      </w:r>
    </w:p>
    <w:p w14:paraId="344A3A78" w14:textId="3C19E78E" w:rsidR="004F2324" w:rsidRPr="004F2324" w:rsidRDefault="004F2324" w:rsidP="004F2324">
      <w:pPr>
        <w:jc w:val="both"/>
        <w:rPr>
          <w:rFonts w:ascii="Times New Roman" w:hAnsi="Times New Roman" w:cs="Times New Roman"/>
          <w:sz w:val="24"/>
          <w:szCs w:val="24"/>
        </w:rPr>
      </w:pPr>
      <w:r w:rsidRPr="004F2324">
        <w:rPr>
          <w:rFonts w:ascii="Times New Roman" w:hAnsi="Times New Roman" w:cs="Times New Roman"/>
          <w:sz w:val="24"/>
          <w:szCs w:val="24"/>
        </w:rPr>
        <w:t>Loan repayments form a notable portion, hinting at dependency on credit among respondents.</w:t>
      </w:r>
    </w:p>
    <w:p w14:paraId="2B36316B" w14:textId="20962BC5" w:rsidR="004F2324" w:rsidRPr="004F2324" w:rsidRDefault="004F2324" w:rsidP="004F2324">
      <w:pPr>
        <w:jc w:val="both"/>
        <w:rPr>
          <w:rFonts w:ascii="Times New Roman" w:hAnsi="Times New Roman" w:cs="Times New Roman"/>
          <w:b/>
          <w:bCs/>
          <w:sz w:val="24"/>
          <w:szCs w:val="24"/>
        </w:rPr>
      </w:pPr>
      <w:r w:rsidRPr="004F2324">
        <w:rPr>
          <w:rFonts w:ascii="Times New Roman" w:hAnsi="Times New Roman" w:cs="Times New Roman"/>
          <w:b/>
          <w:bCs/>
          <w:sz w:val="24"/>
          <w:szCs w:val="24"/>
        </w:rPr>
        <w:t>3. Income by Occupation:</w:t>
      </w:r>
    </w:p>
    <w:p w14:paraId="3B3F5E0F" w14:textId="183767CF" w:rsidR="004F2324" w:rsidRPr="004F2324" w:rsidRDefault="004F2324" w:rsidP="004F2324">
      <w:pPr>
        <w:jc w:val="both"/>
        <w:rPr>
          <w:rFonts w:ascii="Times New Roman" w:hAnsi="Times New Roman" w:cs="Times New Roman"/>
          <w:sz w:val="24"/>
          <w:szCs w:val="24"/>
        </w:rPr>
      </w:pPr>
      <w:r w:rsidRPr="004F2324">
        <w:rPr>
          <w:rFonts w:ascii="Times New Roman" w:hAnsi="Times New Roman" w:cs="Times New Roman"/>
          <w:sz w:val="24"/>
          <w:szCs w:val="24"/>
        </w:rPr>
        <w:t>Professionals, students, and self-employed individuals have similar income levels (~₹0.21B).</w:t>
      </w:r>
    </w:p>
    <w:p w14:paraId="0CE15771" w14:textId="2FEC52F6" w:rsidR="004F2324" w:rsidRPr="004F2324" w:rsidRDefault="004F2324" w:rsidP="004F2324">
      <w:pPr>
        <w:jc w:val="both"/>
        <w:rPr>
          <w:rFonts w:ascii="Times New Roman" w:hAnsi="Times New Roman" w:cs="Times New Roman"/>
          <w:sz w:val="24"/>
          <w:szCs w:val="24"/>
        </w:rPr>
      </w:pPr>
      <w:r w:rsidRPr="004F2324">
        <w:rPr>
          <w:rFonts w:ascii="Times New Roman" w:hAnsi="Times New Roman" w:cs="Times New Roman"/>
          <w:sz w:val="24"/>
          <w:szCs w:val="24"/>
        </w:rPr>
        <w:t>Retired individuals earn slightly less (~₹0.20B), suggesting reliance on savings or pensions.</w:t>
      </w:r>
    </w:p>
    <w:p w14:paraId="3D921BCB" w14:textId="4EFF36F6" w:rsidR="004F2324" w:rsidRPr="004F2324" w:rsidRDefault="004F2324" w:rsidP="004F2324">
      <w:pPr>
        <w:jc w:val="both"/>
        <w:rPr>
          <w:rFonts w:ascii="Times New Roman" w:hAnsi="Times New Roman" w:cs="Times New Roman"/>
          <w:b/>
          <w:bCs/>
          <w:sz w:val="24"/>
          <w:szCs w:val="24"/>
        </w:rPr>
      </w:pPr>
      <w:r w:rsidRPr="004F2324">
        <w:rPr>
          <w:rFonts w:ascii="Times New Roman" w:hAnsi="Times New Roman" w:cs="Times New Roman"/>
          <w:b/>
          <w:bCs/>
          <w:sz w:val="24"/>
          <w:szCs w:val="24"/>
        </w:rPr>
        <w:t>4. City-Wise Spending:</w:t>
      </w:r>
    </w:p>
    <w:p w14:paraId="40F62DB5" w14:textId="30873B6B" w:rsidR="004F2324" w:rsidRPr="004F2324" w:rsidRDefault="004F2324" w:rsidP="004F2324">
      <w:pPr>
        <w:jc w:val="both"/>
        <w:rPr>
          <w:rFonts w:ascii="Times New Roman" w:hAnsi="Times New Roman" w:cs="Times New Roman"/>
          <w:sz w:val="24"/>
          <w:szCs w:val="24"/>
        </w:rPr>
      </w:pPr>
      <w:r w:rsidRPr="004F2324">
        <w:rPr>
          <w:rFonts w:ascii="Times New Roman" w:hAnsi="Times New Roman" w:cs="Times New Roman"/>
          <w:sz w:val="24"/>
          <w:szCs w:val="24"/>
        </w:rPr>
        <w:t>Tier 2 cities record the highest total expenses (₹0.30B), possibly due to rising lifestyle costs and urban expansion.</w:t>
      </w:r>
    </w:p>
    <w:p w14:paraId="4D452318" w14:textId="62CEBF21" w:rsidR="004F2324" w:rsidRPr="004F2324" w:rsidRDefault="004F2324" w:rsidP="004F2324">
      <w:pPr>
        <w:jc w:val="both"/>
        <w:rPr>
          <w:rFonts w:ascii="Times New Roman" w:hAnsi="Times New Roman" w:cs="Times New Roman"/>
          <w:sz w:val="24"/>
          <w:szCs w:val="24"/>
        </w:rPr>
      </w:pPr>
      <w:r w:rsidRPr="004F2324">
        <w:rPr>
          <w:rFonts w:ascii="Times New Roman" w:hAnsi="Times New Roman" w:cs="Times New Roman"/>
          <w:sz w:val="24"/>
          <w:szCs w:val="24"/>
        </w:rPr>
        <w:t>Tier 3 cities show minimal expenses, aligning with lower income and living costs.</w:t>
      </w:r>
    </w:p>
    <w:p w14:paraId="34CAFD40" w14:textId="6D295BA0" w:rsidR="004F2324" w:rsidRPr="004F2324" w:rsidRDefault="004F2324" w:rsidP="004F2324">
      <w:pPr>
        <w:jc w:val="both"/>
        <w:rPr>
          <w:rFonts w:ascii="Times New Roman" w:hAnsi="Times New Roman" w:cs="Times New Roman"/>
          <w:b/>
          <w:bCs/>
          <w:sz w:val="24"/>
          <w:szCs w:val="24"/>
        </w:rPr>
      </w:pPr>
      <w:r w:rsidRPr="004F2324">
        <w:rPr>
          <w:rFonts w:ascii="Times New Roman" w:hAnsi="Times New Roman" w:cs="Times New Roman"/>
          <w:b/>
          <w:bCs/>
          <w:sz w:val="24"/>
          <w:szCs w:val="24"/>
        </w:rPr>
        <w:t>5. Savings by Age Group:</w:t>
      </w:r>
    </w:p>
    <w:p w14:paraId="59637ED2" w14:textId="2F31DF9A" w:rsidR="004F2324" w:rsidRPr="004F2324" w:rsidRDefault="004F2324" w:rsidP="004F2324">
      <w:pPr>
        <w:jc w:val="both"/>
        <w:rPr>
          <w:rFonts w:ascii="Times New Roman" w:hAnsi="Times New Roman" w:cs="Times New Roman"/>
          <w:sz w:val="24"/>
          <w:szCs w:val="24"/>
        </w:rPr>
      </w:pPr>
      <w:r w:rsidRPr="004F2324">
        <w:rPr>
          <w:rFonts w:ascii="Times New Roman" w:hAnsi="Times New Roman" w:cs="Times New Roman"/>
          <w:sz w:val="24"/>
          <w:szCs w:val="24"/>
        </w:rPr>
        <w:t>36–50 years group shows the highest potential to save, but actual savings are lower pointing to lifestyle inflation.</w:t>
      </w:r>
    </w:p>
    <w:p w14:paraId="6C0A7AA8" w14:textId="18351E7B" w:rsidR="004F2324" w:rsidRPr="004F2324" w:rsidRDefault="004F2324" w:rsidP="004F2324">
      <w:pPr>
        <w:jc w:val="both"/>
        <w:rPr>
          <w:rFonts w:ascii="Times New Roman" w:hAnsi="Times New Roman" w:cs="Times New Roman"/>
          <w:sz w:val="24"/>
          <w:szCs w:val="24"/>
        </w:rPr>
      </w:pPr>
      <w:r w:rsidRPr="004F2324">
        <w:rPr>
          <w:rFonts w:ascii="Times New Roman" w:hAnsi="Times New Roman" w:cs="Times New Roman"/>
          <w:sz w:val="24"/>
          <w:szCs w:val="24"/>
        </w:rPr>
        <w:t>Younger groups (18–25 years) have low actual savings, reflecting early-career financial instability.</w:t>
      </w:r>
    </w:p>
    <w:p w14:paraId="3824BB99" w14:textId="48DF078F" w:rsidR="004F2324" w:rsidRPr="004F2324" w:rsidRDefault="004F2324" w:rsidP="004F2324">
      <w:pPr>
        <w:jc w:val="both"/>
        <w:rPr>
          <w:rFonts w:ascii="Times New Roman" w:hAnsi="Times New Roman" w:cs="Times New Roman"/>
          <w:b/>
          <w:bCs/>
          <w:sz w:val="24"/>
          <w:szCs w:val="24"/>
        </w:rPr>
      </w:pPr>
      <w:r w:rsidRPr="004F2324">
        <w:rPr>
          <w:rFonts w:ascii="Times New Roman" w:hAnsi="Times New Roman" w:cs="Times New Roman"/>
          <w:b/>
          <w:bCs/>
          <w:sz w:val="24"/>
          <w:szCs w:val="24"/>
        </w:rPr>
        <w:t>6. Savings Gap:</w:t>
      </w:r>
    </w:p>
    <w:p w14:paraId="5B1B970B" w14:textId="743DAA81" w:rsidR="004F2324" w:rsidRPr="004F2324" w:rsidRDefault="004F2324" w:rsidP="004F2324">
      <w:pPr>
        <w:jc w:val="both"/>
        <w:rPr>
          <w:rFonts w:ascii="Times New Roman" w:hAnsi="Times New Roman" w:cs="Times New Roman"/>
          <w:sz w:val="24"/>
          <w:szCs w:val="24"/>
        </w:rPr>
      </w:pPr>
      <w:r w:rsidRPr="004F2324">
        <w:rPr>
          <w:rFonts w:ascii="Times New Roman" w:hAnsi="Times New Roman" w:cs="Times New Roman"/>
          <w:sz w:val="24"/>
          <w:szCs w:val="24"/>
        </w:rPr>
        <w:t>The ₹161.36M gap between potential and actual savings shows that many respondents are spending beyond their ideal budgets.</w:t>
      </w:r>
    </w:p>
    <w:p w14:paraId="5FD339C0" w14:textId="7502A916" w:rsidR="004F2324" w:rsidRPr="004F2324" w:rsidRDefault="004F2324" w:rsidP="004F2324">
      <w:pPr>
        <w:jc w:val="both"/>
        <w:rPr>
          <w:rFonts w:ascii="Times New Roman" w:hAnsi="Times New Roman" w:cs="Times New Roman"/>
          <w:b/>
          <w:bCs/>
          <w:sz w:val="28"/>
          <w:szCs w:val="28"/>
        </w:rPr>
      </w:pPr>
      <w:r w:rsidRPr="004F2324">
        <w:rPr>
          <w:rFonts w:ascii="Times New Roman" w:hAnsi="Times New Roman" w:cs="Times New Roman"/>
          <w:b/>
          <w:bCs/>
          <w:sz w:val="28"/>
          <w:szCs w:val="28"/>
        </w:rPr>
        <w:t>Managerial / Strategic Implications</w:t>
      </w:r>
    </w:p>
    <w:p w14:paraId="5F948AD0" w14:textId="77077AE5" w:rsidR="004F2324" w:rsidRPr="004F2324" w:rsidRDefault="004F2324" w:rsidP="004F2324">
      <w:pPr>
        <w:jc w:val="both"/>
        <w:rPr>
          <w:rFonts w:ascii="Times New Roman" w:hAnsi="Times New Roman" w:cs="Times New Roman"/>
          <w:b/>
          <w:bCs/>
          <w:sz w:val="24"/>
          <w:szCs w:val="24"/>
        </w:rPr>
      </w:pPr>
      <w:r w:rsidRPr="004F2324">
        <w:rPr>
          <w:rFonts w:ascii="Times New Roman" w:hAnsi="Times New Roman" w:cs="Times New Roman"/>
          <w:b/>
          <w:bCs/>
          <w:sz w:val="24"/>
          <w:szCs w:val="24"/>
        </w:rPr>
        <w:t>1. Financial Awareness Programs:</w:t>
      </w:r>
    </w:p>
    <w:p w14:paraId="11AE7F2D" w14:textId="7210512F" w:rsidR="004F2324" w:rsidRPr="004F2324" w:rsidRDefault="004F2324" w:rsidP="004F2324">
      <w:pPr>
        <w:jc w:val="both"/>
        <w:rPr>
          <w:rFonts w:ascii="Times New Roman" w:hAnsi="Times New Roman" w:cs="Times New Roman"/>
          <w:sz w:val="24"/>
          <w:szCs w:val="24"/>
        </w:rPr>
      </w:pPr>
      <w:r w:rsidRPr="004F2324">
        <w:rPr>
          <w:rFonts w:ascii="Times New Roman" w:hAnsi="Times New Roman" w:cs="Times New Roman"/>
          <w:sz w:val="24"/>
          <w:szCs w:val="24"/>
        </w:rPr>
        <w:t>Promote budgeting and debt control programs, especially for young earners and Tier 2 residents.</w:t>
      </w:r>
    </w:p>
    <w:p w14:paraId="4EBB06CD" w14:textId="4C29939A" w:rsidR="004F2324" w:rsidRPr="004F2324" w:rsidRDefault="004F2324" w:rsidP="004F2324">
      <w:pPr>
        <w:jc w:val="both"/>
        <w:rPr>
          <w:rFonts w:ascii="Times New Roman" w:hAnsi="Times New Roman" w:cs="Times New Roman"/>
          <w:b/>
          <w:bCs/>
          <w:sz w:val="24"/>
          <w:szCs w:val="24"/>
        </w:rPr>
      </w:pPr>
      <w:r w:rsidRPr="004F2324">
        <w:rPr>
          <w:rFonts w:ascii="Times New Roman" w:hAnsi="Times New Roman" w:cs="Times New Roman"/>
          <w:b/>
          <w:bCs/>
          <w:sz w:val="24"/>
          <w:szCs w:val="24"/>
        </w:rPr>
        <w:t>2. Targeted Fintech Solutions:</w:t>
      </w:r>
    </w:p>
    <w:p w14:paraId="35D20F8F" w14:textId="2B3C8791" w:rsidR="004F2324" w:rsidRPr="004F2324" w:rsidRDefault="004F2324" w:rsidP="004F2324">
      <w:pPr>
        <w:jc w:val="both"/>
        <w:rPr>
          <w:rFonts w:ascii="Times New Roman" w:hAnsi="Times New Roman" w:cs="Times New Roman"/>
          <w:sz w:val="24"/>
          <w:szCs w:val="24"/>
        </w:rPr>
      </w:pPr>
      <w:r w:rsidRPr="004F2324">
        <w:rPr>
          <w:rFonts w:ascii="Times New Roman" w:hAnsi="Times New Roman" w:cs="Times New Roman"/>
          <w:sz w:val="24"/>
          <w:szCs w:val="24"/>
        </w:rPr>
        <w:t>Fintech apps can design AI-based saving trackers and personalized investment tools for working professionals.</w:t>
      </w:r>
    </w:p>
    <w:p w14:paraId="15016ADE" w14:textId="46E3C655" w:rsidR="004F2324" w:rsidRPr="004F2324" w:rsidRDefault="004F2324" w:rsidP="004F2324">
      <w:pPr>
        <w:jc w:val="both"/>
        <w:rPr>
          <w:rFonts w:ascii="Times New Roman" w:hAnsi="Times New Roman" w:cs="Times New Roman"/>
          <w:b/>
          <w:bCs/>
          <w:sz w:val="24"/>
          <w:szCs w:val="24"/>
        </w:rPr>
      </w:pPr>
      <w:r w:rsidRPr="004F2324">
        <w:rPr>
          <w:rFonts w:ascii="Times New Roman" w:hAnsi="Times New Roman" w:cs="Times New Roman"/>
          <w:b/>
          <w:bCs/>
          <w:sz w:val="24"/>
          <w:szCs w:val="24"/>
        </w:rPr>
        <w:t>3. Credit Management Focus:</w:t>
      </w:r>
    </w:p>
    <w:p w14:paraId="013E5125" w14:textId="64AC73CF" w:rsidR="004F2324" w:rsidRPr="004F2324" w:rsidRDefault="004F2324" w:rsidP="004F2324">
      <w:pPr>
        <w:jc w:val="both"/>
        <w:rPr>
          <w:rFonts w:ascii="Times New Roman" w:hAnsi="Times New Roman" w:cs="Times New Roman"/>
          <w:sz w:val="24"/>
          <w:szCs w:val="24"/>
        </w:rPr>
      </w:pPr>
      <w:r w:rsidRPr="004F2324">
        <w:rPr>
          <w:rFonts w:ascii="Times New Roman" w:hAnsi="Times New Roman" w:cs="Times New Roman"/>
          <w:sz w:val="24"/>
          <w:szCs w:val="24"/>
        </w:rPr>
        <w:t>Introduce campaigns emphasizing loan repayment discipline and emergency fund creation.</w:t>
      </w:r>
    </w:p>
    <w:p w14:paraId="0DAE6B5A" w14:textId="2519AA71" w:rsidR="004F2324" w:rsidRPr="004F2324" w:rsidRDefault="004F2324" w:rsidP="004F2324">
      <w:pPr>
        <w:jc w:val="both"/>
        <w:rPr>
          <w:rFonts w:ascii="Times New Roman" w:hAnsi="Times New Roman" w:cs="Times New Roman"/>
          <w:b/>
          <w:bCs/>
          <w:sz w:val="24"/>
          <w:szCs w:val="24"/>
        </w:rPr>
      </w:pPr>
      <w:r w:rsidRPr="004F2324">
        <w:rPr>
          <w:rFonts w:ascii="Times New Roman" w:hAnsi="Times New Roman" w:cs="Times New Roman"/>
          <w:b/>
          <w:bCs/>
          <w:sz w:val="24"/>
          <w:szCs w:val="24"/>
        </w:rPr>
        <w:t>4. Segmented Financial Planning:</w:t>
      </w:r>
    </w:p>
    <w:p w14:paraId="5BA34720" w14:textId="1E184B9E" w:rsidR="004F2324" w:rsidRPr="004F2324" w:rsidRDefault="004F2324" w:rsidP="004F2324">
      <w:pPr>
        <w:jc w:val="both"/>
        <w:rPr>
          <w:rFonts w:ascii="Times New Roman" w:hAnsi="Times New Roman" w:cs="Times New Roman"/>
          <w:sz w:val="24"/>
          <w:szCs w:val="24"/>
        </w:rPr>
      </w:pPr>
      <w:r w:rsidRPr="004F2324">
        <w:rPr>
          <w:rFonts w:ascii="Times New Roman" w:hAnsi="Times New Roman" w:cs="Times New Roman"/>
          <w:sz w:val="24"/>
          <w:szCs w:val="24"/>
        </w:rPr>
        <w:t>Tailor saving and investment products based on occupation and age group (e.g., low-risk options for retirees, high-return for youth).</w:t>
      </w:r>
    </w:p>
    <w:p w14:paraId="0B49615D" w14:textId="532719DE" w:rsidR="004F2324" w:rsidRPr="004F2324" w:rsidRDefault="004F2324" w:rsidP="004F2324">
      <w:pPr>
        <w:jc w:val="both"/>
        <w:rPr>
          <w:rFonts w:ascii="Times New Roman" w:hAnsi="Times New Roman" w:cs="Times New Roman"/>
          <w:b/>
          <w:bCs/>
          <w:sz w:val="24"/>
          <w:szCs w:val="24"/>
        </w:rPr>
      </w:pPr>
      <w:r w:rsidRPr="004F2324">
        <w:rPr>
          <w:rFonts w:ascii="Times New Roman" w:hAnsi="Times New Roman" w:cs="Times New Roman"/>
          <w:b/>
          <w:bCs/>
          <w:sz w:val="24"/>
          <w:szCs w:val="24"/>
        </w:rPr>
        <w:t>5. Policy Recommendation:</w:t>
      </w:r>
    </w:p>
    <w:p w14:paraId="121FB5C3" w14:textId="3C454972" w:rsidR="004F2324" w:rsidRPr="004F2324" w:rsidRDefault="00136109" w:rsidP="004F2324">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91F7F31" wp14:editId="2368A778">
                <wp:simplePos x="0" y="0"/>
                <wp:positionH relativeFrom="column">
                  <wp:posOffset>389106</wp:posOffset>
                </wp:positionH>
                <wp:positionV relativeFrom="paragraph">
                  <wp:posOffset>382513</wp:posOffset>
                </wp:positionV>
                <wp:extent cx="3923490" cy="1089309"/>
                <wp:effectExtent l="0" t="0" r="20320" b="15875"/>
                <wp:wrapNone/>
                <wp:docPr id="942806864" name="Text Box 1"/>
                <wp:cNvGraphicFramePr/>
                <a:graphic xmlns:a="http://schemas.openxmlformats.org/drawingml/2006/main">
                  <a:graphicData uri="http://schemas.microsoft.com/office/word/2010/wordprocessingShape">
                    <wps:wsp>
                      <wps:cNvSpPr txBox="1"/>
                      <wps:spPr>
                        <a:xfrm>
                          <a:off x="0" y="0"/>
                          <a:ext cx="3923490" cy="1089309"/>
                        </a:xfrm>
                        <a:prstGeom prst="rect">
                          <a:avLst/>
                        </a:prstGeom>
                        <a:solidFill>
                          <a:schemeClr val="lt1"/>
                        </a:solidFill>
                        <a:ln w="6350">
                          <a:solidFill>
                            <a:prstClr val="black"/>
                          </a:solidFill>
                        </a:ln>
                      </wps:spPr>
                      <wps:txbx>
                        <w:txbxContent>
                          <w:p w14:paraId="632A06B6" w14:textId="5DFA70BD" w:rsidR="000F635E" w:rsidRDefault="009E4973" w:rsidP="009E4973">
                            <w:r>
                              <w:t xml:space="preserve">Names: </w:t>
                            </w:r>
                            <w:r w:rsidR="000F635E">
                              <w:t>Konchada Lavya</w:t>
                            </w:r>
                            <w:r>
                              <w:t xml:space="preserve">, </w:t>
                            </w:r>
                            <w:proofErr w:type="spellStart"/>
                            <w:proofErr w:type="gramStart"/>
                            <w:r w:rsidR="000F635E">
                              <w:t>S.Tapaswini</w:t>
                            </w:r>
                            <w:proofErr w:type="spellEnd"/>
                            <w:proofErr w:type="gramEnd"/>
                            <w:r>
                              <w:t xml:space="preserve">, </w:t>
                            </w:r>
                            <w:proofErr w:type="spellStart"/>
                            <w:proofErr w:type="gramStart"/>
                            <w:r w:rsidR="000F635E">
                              <w:t>D.Prasoona</w:t>
                            </w:r>
                            <w:proofErr w:type="spellEnd"/>
                            <w:proofErr w:type="gramEnd"/>
                            <w:r>
                              <w:t xml:space="preserve">, </w:t>
                            </w:r>
                            <w:proofErr w:type="spellStart"/>
                            <w:proofErr w:type="gramStart"/>
                            <w:r>
                              <w:t>K.Ganesh</w:t>
                            </w:r>
                            <w:proofErr w:type="spellEnd"/>
                            <w:proofErr w:type="gramEnd"/>
                          </w:p>
                          <w:p w14:paraId="3E114C97" w14:textId="05A81B4B" w:rsidR="000F635E" w:rsidRDefault="009E4973">
                            <w:r>
                              <w:t>Course:</w:t>
                            </w:r>
                            <w:r w:rsidR="00635B57">
                              <w:t xml:space="preserve"> </w:t>
                            </w:r>
                            <w:r>
                              <w:t>BBA</w:t>
                            </w:r>
                          </w:p>
                          <w:p w14:paraId="3167DFD8" w14:textId="05D6347C" w:rsidR="009E4973" w:rsidRDefault="009E4973">
                            <w:r>
                              <w:t>College</w:t>
                            </w:r>
                            <w:r w:rsidR="00635B57">
                              <w:t>: Centurion University and Technology and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1F7F31" id="_x0000_t202" coordsize="21600,21600" o:spt="202" path="m,l,21600r21600,l21600,xe">
                <v:stroke joinstyle="miter"/>
                <v:path gradientshapeok="t" o:connecttype="rect"/>
              </v:shapetype>
              <v:shape id="Text Box 1" o:spid="_x0000_s1026" type="#_x0000_t202" style="position:absolute;left:0;text-align:left;margin-left:30.65pt;margin-top:30.1pt;width:308.95pt;height:85.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3xXOAIAAH0EAAAOAAAAZHJzL2Uyb0RvYy54bWysVE1v2zAMvQ/YfxB0X+x8tGuMOEWWIsOA&#10;oC2QDj0rshQbk0VNUmJnv36U7Hy022nYRaZE6ol8fPTsvq0VOQjrKtA5HQ5SSoTmUFR6l9PvL6tP&#10;d5Q4z3TBFGiR06Nw9H7+8cOsMZkYQQmqEJYgiHZZY3Jaem+yJHG8FDVzAzBCo1OCrZnHrd0lhWUN&#10;otcqGaXpbdKALYwFLpzD04fOSecRX0rB/ZOUTniicoq5+bjauG7DmsxnLNtZZsqK92mwf8iiZpXG&#10;R89QD8wzsrfVH1B1xS04kH7AoU5AyoqLWANWM0zfVbMpmRGxFiTHmTNN7v/B8sfDxjxb4tsv0GID&#10;AyGNcZnDw1BPK20dvpgpQT9SeDzTJlpPOB6Op6PxZIoujr5hejcdp9OAk1yuG+v8VwE1CUZOLfYl&#10;0sUOa+e70FNIeM2BqopVpVTcBC2IpbLkwLCLysckEfxNlNKkyent+CaNwG98Afp8f6sY/9GndxWF&#10;eEpjzpfig+XbbdszsoXiiERZ6DTkDF9ViLtmzj8zi6JBAnAQ/BMuUgEmA71FSQn219/OQzz2Er2U&#10;NCjCnLqfe2YFJeqbxi5Ph5NJUG3cTG4+j3Bjrz3ba4/e10tAhoY4coZHM8R7dTKlhfoV52URXkUX&#10;0xzfzqk/mUvfjQbOGxeLRQxCnRrm13pjeIAOHQl8vrSvzJq+nx6l8AgnubLsXVu72HBTw2LvQVax&#10;54HgjtWed9R4VE0/j2GIrvcx6vLXmP8GAAD//wMAUEsDBBQABgAIAAAAIQCrZwub3QAAAAkBAAAP&#10;AAAAZHJzL2Rvd25yZXYueG1sTI/BTsMwEETvSPyDtUjcqJNUStMQpwJUuHCiIM5u7NoW8Tqy3TT8&#10;PcsJTrurGc2+6XaLH9msY3IBBZSrApjGISiHRsDH+/NdAyxliUqOAbWAb51g119fdbJV4YJvej5k&#10;wygEUysF2JynlvM0WO1lWoVJI2mnEL3MdEbDVZQXCvcjr4qi5l46pA9WTvrJ6uHrcPYC9o9ma4ZG&#10;RrtvlHPz8nl6NS9C3N4sD/fAsl7ynxl+8QkdemI6hjOqxEYBdbkmJ82iAkZ6vdnSchRQrcsN8L7j&#10;/xv0PwAAAP//AwBQSwECLQAUAAYACAAAACEAtoM4kv4AAADhAQAAEwAAAAAAAAAAAAAAAAAAAAAA&#10;W0NvbnRlbnRfVHlwZXNdLnhtbFBLAQItABQABgAIAAAAIQA4/SH/1gAAAJQBAAALAAAAAAAAAAAA&#10;AAAAAC8BAABfcmVscy8ucmVsc1BLAQItABQABgAIAAAAIQBv03xXOAIAAH0EAAAOAAAAAAAAAAAA&#10;AAAAAC4CAABkcnMvZTJvRG9jLnhtbFBLAQItABQABgAIAAAAIQCrZwub3QAAAAkBAAAPAAAAAAAA&#10;AAAAAAAAAJIEAABkcnMvZG93bnJldi54bWxQSwUGAAAAAAQABADzAAAAnAUAAAAA&#10;" fillcolor="white [3201]" strokeweight=".5pt">
                <v:textbox>
                  <w:txbxContent>
                    <w:p w14:paraId="632A06B6" w14:textId="5DFA70BD" w:rsidR="000F635E" w:rsidRDefault="009E4973" w:rsidP="009E4973">
                      <w:r>
                        <w:t xml:space="preserve">Names: </w:t>
                      </w:r>
                      <w:r w:rsidR="000F635E">
                        <w:t>Konchada Lavya</w:t>
                      </w:r>
                      <w:r>
                        <w:t xml:space="preserve">, </w:t>
                      </w:r>
                      <w:proofErr w:type="spellStart"/>
                      <w:proofErr w:type="gramStart"/>
                      <w:r w:rsidR="000F635E">
                        <w:t>S.Tapaswini</w:t>
                      </w:r>
                      <w:proofErr w:type="spellEnd"/>
                      <w:proofErr w:type="gramEnd"/>
                      <w:r>
                        <w:t xml:space="preserve">, </w:t>
                      </w:r>
                      <w:proofErr w:type="spellStart"/>
                      <w:proofErr w:type="gramStart"/>
                      <w:r w:rsidR="000F635E">
                        <w:t>D.Prasoona</w:t>
                      </w:r>
                      <w:proofErr w:type="spellEnd"/>
                      <w:proofErr w:type="gramEnd"/>
                      <w:r>
                        <w:t xml:space="preserve">, </w:t>
                      </w:r>
                      <w:proofErr w:type="spellStart"/>
                      <w:proofErr w:type="gramStart"/>
                      <w:r>
                        <w:t>K.Ganesh</w:t>
                      </w:r>
                      <w:proofErr w:type="spellEnd"/>
                      <w:proofErr w:type="gramEnd"/>
                    </w:p>
                    <w:p w14:paraId="3E114C97" w14:textId="05A81B4B" w:rsidR="000F635E" w:rsidRDefault="009E4973">
                      <w:r>
                        <w:t>Course:</w:t>
                      </w:r>
                      <w:r w:rsidR="00635B57">
                        <w:t xml:space="preserve"> </w:t>
                      </w:r>
                      <w:r>
                        <w:t>BBA</w:t>
                      </w:r>
                    </w:p>
                    <w:p w14:paraId="3167DFD8" w14:textId="05D6347C" w:rsidR="009E4973" w:rsidRDefault="009E4973">
                      <w:r>
                        <w:t>College</w:t>
                      </w:r>
                      <w:r w:rsidR="00635B57">
                        <w:t>: Centurion University and Technology and Management</w:t>
                      </w:r>
                    </w:p>
                  </w:txbxContent>
                </v:textbox>
              </v:shape>
            </w:pict>
          </mc:Fallback>
        </mc:AlternateContent>
      </w:r>
      <w:r w:rsidR="004F2324" w:rsidRPr="004F2324">
        <w:rPr>
          <w:rFonts w:ascii="Times New Roman" w:hAnsi="Times New Roman" w:cs="Times New Roman"/>
          <w:sz w:val="24"/>
          <w:szCs w:val="24"/>
        </w:rPr>
        <w:t>Encourage financial literacy in Tier 2 cities to balance rising incomes with prudent savings.</w:t>
      </w:r>
    </w:p>
    <w:sectPr w:rsidR="004F2324" w:rsidRPr="004F2324" w:rsidSect="00BD317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B68E4"/>
    <w:multiLevelType w:val="multilevel"/>
    <w:tmpl w:val="A6C6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E2407E"/>
    <w:multiLevelType w:val="multilevel"/>
    <w:tmpl w:val="B55E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577D66"/>
    <w:multiLevelType w:val="multilevel"/>
    <w:tmpl w:val="297A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0675BD"/>
    <w:multiLevelType w:val="multilevel"/>
    <w:tmpl w:val="26BA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1690">
    <w:abstractNumId w:val="0"/>
  </w:num>
  <w:num w:numId="2" w16cid:durableId="883827871">
    <w:abstractNumId w:val="2"/>
  </w:num>
  <w:num w:numId="3" w16cid:durableId="1602372928">
    <w:abstractNumId w:val="1"/>
  </w:num>
  <w:num w:numId="4" w16cid:durableId="18270451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324"/>
    <w:rsid w:val="000F635E"/>
    <w:rsid w:val="00136109"/>
    <w:rsid w:val="00303D6C"/>
    <w:rsid w:val="004F2324"/>
    <w:rsid w:val="00635B57"/>
    <w:rsid w:val="00804F56"/>
    <w:rsid w:val="00820C2A"/>
    <w:rsid w:val="009666FD"/>
    <w:rsid w:val="009E4973"/>
    <w:rsid w:val="00A83325"/>
    <w:rsid w:val="00BD3176"/>
    <w:rsid w:val="00F66A2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7EECA"/>
  <w15:chartTrackingRefBased/>
  <w15:docId w15:val="{1616712C-FB6A-4746-808C-A2D6D654B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3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23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23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23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23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23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3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3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3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3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23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23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23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23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2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324"/>
    <w:rPr>
      <w:rFonts w:eastAsiaTheme="majorEastAsia" w:cstheme="majorBidi"/>
      <w:color w:val="272727" w:themeColor="text1" w:themeTint="D8"/>
    </w:rPr>
  </w:style>
  <w:style w:type="paragraph" w:styleId="Title">
    <w:name w:val="Title"/>
    <w:basedOn w:val="Normal"/>
    <w:next w:val="Normal"/>
    <w:link w:val="TitleChar"/>
    <w:uiPriority w:val="10"/>
    <w:qFormat/>
    <w:rsid w:val="004F2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3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324"/>
    <w:pPr>
      <w:spacing w:before="160"/>
      <w:jc w:val="center"/>
    </w:pPr>
    <w:rPr>
      <w:i/>
      <w:iCs/>
      <w:color w:val="404040" w:themeColor="text1" w:themeTint="BF"/>
    </w:rPr>
  </w:style>
  <w:style w:type="character" w:customStyle="1" w:styleId="QuoteChar">
    <w:name w:val="Quote Char"/>
    <w:basedOn w:val="DefaultParagraphFont"/>
    <w:link w:val="Quote"/>
    <w:uiPriority w:val="29"/>
    <w:rsid w:val="004F2324"/>
    <w:rPr>
      <w:i/>
      <w:iCs/>
      <w:color w:val="404040" w:themeColor="text1" w:themeTint="BF"/>
    </w:rPr>
  </w:style>
  <w:style w:type="paragraph" w:styleId="ListParagraph">
    <w:name w:val="List Paragraph"/>
    <w:basedOn w:val="Normal"/>
    <w:uiPriority w:val="34"/>
    <w:qFormat/>
    <w:rsid w:val="004F2324"/>
    <w:pPr>
      <w:ind w:left="720"/>
      <w:contextualSpacing/>
    </w:pPr>
  </w:style>
  <w:style w:type="character" w:styleId="IntenseEmphasis">
    <w:name w:val="Intense Emphasis"/>
    <w:basedOn w:val="DefaultParagraphFont"/>
    <w:uiPriority w:val="21"/>
    <w:qFormat/>
    <w:rsid w:val="004F2324"/>
    <w:rPr>
      <w:i/>
      <w:iCs/>
      <w:color w:val="2F5496" w:themeColor="accent1" w:themeShade="BF"/>
    </w:rPr>
  </w:style>
  <w:style w:type="paragraph" w:styleId="IntenseQuote">
    <w:name w:val="Intense Quote"/>
    <w:basedOn w:val="Normal"/>
    <w:next w:val="Normal"/>
    <w:link w:val="IntenseQuoteChar"/>
    <w:uiPriority w:val="30"/>
    <w:qFormat/>
    <w:rsid w:val="004F23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2324"/>
    <w:rPr>
      <w:i/>
      <w:iCs/>
      <w:color w:val="2F5496" w:themeColor="accent1" w:themeShade="BF"/>
    </w:rPr>
  </w:style>
  <w:style w:type="character" w:styleId="IntenseReference">
    <w:name w:val="Intense Reference"/>
    <w:basedOn w:val="DefaultParagraphFont"/>
    <w:uiPriority w:val="32"/>
    <w:qFormat/>
    <w:rsid w:val="004F2324"/>
    <w:rPr>
      <w:b/>
      <w:bCs/>
      <w:smallCaps/>
      <w:color w:val="2F5496" w:themeColor="accent1" w:themeShade="BF"/>
      <w:spacing w:val="5"/>
    </w:rPr>
  </w:style>
  <w:style w:type="character" w:styleId="Hyperlink">
    <w:name w:val="Hyperlink"/>
    <w:basedOn w:val="DefaultParagraphFont"/>
    <w:uiPriority w:val="99"/>
    <w:unhideWhenUsed/>
    <w:rsid w:val="004F2324"/>
    <w:rPr>
      <w:color w:val="0563C1" w:themeColor="hyperlink"/>
      <w:u w:val="single"/>
    </w:rPr>
  </w:style>
  <w:style w:type="character" w:styleId="UnresolvedMention">
    <w:name w:val="Unresolved Mention"/>
    <w:basedOn w:val="DefaultParagraphFont"/>
    <w:uiPriority w:val="99"/>
    <w:semiHidden/>
    <w:unhideWhenUsed/>
    <w:rsid w:val="004F23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shriyashjagtap/indian-personal-finance-and-spending-habi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555</Words>
  <Characters>3168</Characters>
  <Application>Microsoft Office Word</Application>
  <DocSecurity>0</DocSecurity>
  <Lines>26</Lines>
  <Paragraphs>7</Paragraphs>
  <ScaleCrop>false</ScaleCrop>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Lavya Konchada</dc:creator>
  <cp:keywords/>
  <dc:description/>
  <cp:lastModifiedBy>Lavya Konchada</cp:lastModifiedBy>
  <cp:revision>5</cp:revision>
  <dcterms:created xsi:type="dcterms:W3CDTF">2025-11-04T01:32:00Z</dcterms:created>
  <dcterms:modified xsi:type="dcterms:W3CDTF">2025-11-04T04:39:00Z</dcterms:modified>
</cp:coreProperties>
</file>