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after="80" w:before="360" w:line="278.00000000000006" w:lineRule="auto"/>
        <w:rPr>
          <w:rFonts w:ascii="Play" w:cs="Play" w:eastAsia="Play" w:hAnsi="Play"/>
          <w:color w:val="0f4761"/>
        </w:rPr>
      </w:pPr>
      <w:bookmarkStart w:colFirst="0" w:colLast="0" w:name="_o8ywesp3zu08" w:id="0"/>
      <w:bookmarkEnd w:id="0"/>
      <w:r w:rsidDel="00000000" w:rsidR="00000000" w:rsidRPr="00000000">
        <w:rPr>
          <w:rFonts w:ascii="Play" w:cs="Play" w:eastAsia="Play" w:hAnsi="Play"/>
          <w:color w:val="0f4761"/>
          <w:rtl w:val="0"/>
        </w:rPr>
        <w:t xml:space="preserve">Burndown Chart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En el siguiente gráfico de líneas, se pueden observar 2 segmentos, el primero enfocado a la carga de trabajo estimada, y el segundo que representa la carga de trabajo real durante el sprint.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73400"/>
            <wp:effectExtent b="0" l="0" r="0" t="0"/>
            <wp:docPr descr="Puntuación obtenida" id="1" name="image1.png"/>
            <a:graphic>
              <a:graphicData uri="http://schemas.openxmlformats.org/drawingml/2006/picture">
                <pic:pic>
                  <pic:nvPicPr>
                    <pic:cNvPr descr="Puntuación obtenida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