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5E321E" w14:textId="61D5EEE8" w:rsidR="009B7175" w:rsidRPr="009B7175" w:rsidRDefault="009B7175" w:rsidP="009B7175">
      <w:pPr>
        <w:spacing w:after="100"/>
        <w:rPr>
          <w:rFonts w:ascii="Calibri" w:eastAsia="Calibri" w:hAnsi="Calibri" w:cs="Calibri"/>
          <w:b/>
          <w:bCs/>
          <w:color w:val="1F4E79"/>
          <w:sz w:val="34"/>
          <w:szCs w:val="34"/>
        </w:rPr>
      </w:pPr>
      <w:r w:rsidRPr="009B7175">
        <w:rPr>
          <w:rFonts w:ascii="Calibri" w:eastAsia="Calibri" w:hAnsi="Calibri" w:cs="Calibri"/>
          <w:b/>
          <w:bCs/>
          <w:color w:val="1F4E79"/>
          <w:sz w:val="34"/>
          <w:szCs w:val="34"/>
        </w:rPr>
        <w:t>Vulnerability assessment report</w:t>
      </w:r>
    </w:p>
    <w:p w14:paraId="303DB86E" w14:textId="77777777" w:rsidR="00E63579" w:rsidRDefault="00000000">
      <w:pPr>
        <w:pBdr>
          <w:bottom w:val="single" w:sz="14" w:space="0" w:color="C99A2E"/>
        </w:pBdr>
        <w:spacing w:after="60"/>
      </w:pPr>
      <w:r>
        <w:rPr>
          <w:rFonts w:ascii="Calibri" w:eastAsia="Calibri" w:hAnsi="Calibri" w:cs="Calibri"/>
          <w:i/>
          <w:iCs/>
          <w:color w:val="555555"/>
          <w:sz w:val="19"/>
          <w:szCs w:val="19"/>
        </w:rPr>
        <w:t>E-commerce database server. 1st January 20XX.</w:t>
      </w:r>
    </w:p>
    <w:p w14:paraId="4AD91BE4" w14:textId="77777777" w:rsidR="00E63579" w:rsidRPr="009B7175" w:rsidRDefault="00000000">
      <w:pPr>
        <w:spacing w:before="240" w:after="90"/>
        <w:rPr>
          <w:color w:val="1F4E79"/>
        </w:rPr>
      </w:pPr>
      <w:r w:rsidRPr="009B7175">
        <w:rPr>
          <w:rFonts w:ascii="Calibri" w:eastAsia="Calibri" w:hAnsi="Calibri" w:cs="Calibri"/>
          <w:b/>
          <w:bCs/>
          <w:color w:val="1F4E79"/>
          <w:sz w:val="25"/>
          <w:szCs w:val="25"/>
        </w:rPr>
        <w:t>System description</w:t>
      </w:r>
    </w:p>
    <w:p w14:paraId="060FE20F" w14:textId="77777777" w:rsidR="00E63579" w:rsidRDefault="00000000">
      <w:pPr>
        <w:spacing w:after="120" w:line="276" w:lineRule="auto"/>
      </w:pPr>
      <w:r>
        <w:rPr>
          <w:rFonts w:ascii="Calibri" w:eastAsia="Calibri" w:hAnsi="Calibri" w:cs="Calibri"/>
          <w:sz w:val="21"/>
          <w:szCs w:val="21"/>
        </w:rPr>
        <w:t>The server hardware consists of a powerful CPU processor and 128GB of memory. It runs the latest version of the Linux operating system and hosts a MySQL database management system. It is configured with a stable network connection using IPv4 addresses and interacts with other servers on the network. Security measures include SSL/TLS encrypted connections.</w:t>
      </w:r>
    </w:p>
    <w:p w14:paraId="2A5FFFF7" w14:textId="77777777" w:rsidR="00E63579" w:rsidRPr="009B7175" w:rsidRDefault="00000000">
      <w:pPr>
        <w:spacing w:before="240" w:after="90"/>
        <w:rPr>
          <w:color w:val="1F4E79"/>
        </w:rPr>
      </w:pPr>
      <w:r w:rsidRPr="009B7175">
        <w:rPr>
          <w:rFonts w:ascii="Calibri" w:eastAsia="Calibri" w:hAnsi="Calibri" w:cs="Calibri"/>
          <w:b/>
          <w:bCs/>
          <w:color w:val="1F4E79"/>
          <w:sz w:val="25"/>
          <w:szCs w:val="25"/>
        </w:rPr>
        <w:t>Scope</w:t>
      </w:r>
    </w:p>
    <w:p w14:paraId="3FEB6825" w14:textId="77777777" w:rsidR="00E63579" w:rsidRDefault="00000000">
      <w:pPr>
        <w:spacing w:after="120" w:line="276" w:lineRule="auto"/>
      </w:pPr>
      <w:r>
        <w:rPr>
          <w:rFonts w:ascii="Calibri" w:eastAsia="Calibri" w:hAnsi="Calibri" w:cs="Calibri"/>
          <w:sz w:val="21"/>
          <w:szCs w:val="21"/>
        </w:rPr>
        <w:t>The scope of this vulnerability assessment relates to the current access controls of the system. The assessment covers a period of three months, from June 20XX to August 20XX. NIST SP 800-30 Rev. 1 guides the risk analysis of the information system.</w:t>
      </w:r>
    </w:p>
    <w:p w14:paraId="45071CDF" w14:textId="77777777" w:rsidR="00E63579" w:rsidRPr="009B7175" w:rsidRDefault="00000000">
      <w:pPr>
        <w:spacing w:before="240" w:after="90"/>
        <w:rPr>
          <w:color w:val="1F4E79"/>
        </w:rPr>
      </w:pPr>
      <w:r w:rsidRPr="009B7175">
        <w:rPr>
          <w:rFonts w:ascii="Calibri" w:eastAsia="Calibri" w:hAnsi="Calibri" w:cs="Calibri"/>
          <w:b/>
          <w:bCs/>
          <w:color w:val="1F4E79"/>
          <w:sz w:val="25"/>
          <w:szCs w:val="25"/>
        </w:rPr>
        <w:t>Purpose</w:t>
      </w:r>
    </w:p>
    <w:p w14:paraId="3CEB7127" w14:textId="77777777" w:rsidR="00E63579" w:rsidRDefault="00000000">
      <w:pPr>
        <w:spacing w:after="120" w:line="276" w:lineRule="auto"/>
      </w:pPr>
      <w:r>
        <w:rPr>
          <w:rFonts w:ascii="Calibri" w:eastAsia="Calibri" w:hAnsi="Calibri" w:cs="Calibri"/>
          <w:sz w:val="21"/>
          <w:szCs w:val="21"/>
        </w:rPr>
        <w:t>The database server is central to business operations. It stores the customer and product information that a globally distributed, remote workforce queries every day to find and serve customers, which ties it directly to revenue. Securing the data protects customer privacy and the confidentiality and integrity of information the business depends on, and it limits regulatory and reputational exposure. If the server were disabled, employees worldwide would lose access to the data they need, halting core operations and interrupting sales. This assessment communicates those risks to decision makers and outlines how the currently public-facing server can be secured.</w:t>
      </w:r>
    </w:p>
    <w:p w14:paraId="2F60AC5A" w14:textId="77777777" w:rsidR="00E63579" w:rsidRPr="009B7175" w:rsidRDefault="00000000">
      <w:pPr>
        <w:spacing w:before="240" w:after="90"/>
        <w:rPr>
          <w:color w:val="1F4E79"/>
        </w:rPr>
      </w:pPr>
      <w:r w:rsidRPr="009B7175">
        <w:rPr>
          <w:rFonts w:ascii="Calibri" w:eastAsia="Calibri" w:hAnsi="Calibri" w:cs="Calibri"/>
          <w:b/>
          <w:bCs/>
          <w:color w:val="1F4E79"/>
          <w:sz w:val="25"/>
          <w:szCs w:val="25"/>
        </w:rPr>
        <w:t>Risk assessment</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4413"/>
        <w:gridCol w:w="1171"/>
        <w:gridCol w:w="1276"/>
        <w:gridCol w:w="1276"/>
      </w:tblGrid>
      <w:tr w:rsidR="00E63579" w14:paraId="045268FC" w14:textId="77777777" w:rsidTr="009B7175">
        <w:tblPrEx>
          <w:tblCellMar>
            <w:top w:w="0" w:type="dxa"/>
            <w:bottom w:w="0" w:type="dxa"/>
          </w:tblCellMar>
        </w:tblPrEx>
        <w:trPr>
          <w:tblHeader/>
        </w:trPr>
        <w:tc>
          <w:tcPr>
            <w:tcW w:w="1782" w:type="dxa"/>
            <w:shd w:val="clear" w:color="auto" w:fill="1F4E79"/>
            <w:tcMar>
              <w:top w:w="80" w:type="dxa"/>
              <w:left w:w="100" w:type="dxa"/>
              <w:bottom w:w="80" w:type="dxa"/>
              <w:right w:w="100" w:type="dxa"/>
            </w:tcMar>
          </w:tcPr>
          <w:p w14:paraId="2AC0C19A" w14:textId="77777777" w:rsidR="00E63579" w:rsidRDefault="00000000" w:rsidP="009B7175">
            <w:pPr>
              <w:jc w:val="center"/>
            </w:pPr>
            <w:r>
              <w:rPr>
                <w:rFonts w:ascii="Calibri" w:eastAsia="Calibri" w:hAnsi="Calibri" w:cs="Calibri"/>
                <w:b/>
                <w:bCs/>
                <w:color w:val="FFFFFF"/>
                <w:sz w:val="18"/>
                <w:szCs w:val="18"/>
              </w:rPr>
              <w:t>Threat source</w:t>
            </w:r>
          </w:p>
        </w:tc>
        <w:tc>
          <w:tcPr>
            <w:tcW w:w="4413" w:type="dxa"/>
            <w:shd w:val="clear" w:color="auto" w:fill="1F4E79"/>
            <w:tcMar>
              <w:top w:w="80" w:type="dxa"/>
              <w:left w:w="100" w:type="dxa"/>
              <w:bottom w:w="80" w:type="dxa"/>
              <w:right w:w="100" w:type="dxa"/>
            </w:tcMar>
          </w:tcPr>
          <w:p w14:paraId="3FD000AB" w14:textId="77777777" w:rsidR="00E63579" w:rsidRDefault="00000000" w:rsidP="009B7175">
            <w:pPr>
              <w:jc w:val="center"/>
            </w:pPr>
            <w:r>
              <w:rPr>
                <w:rFonts w:ascii="Calibri" w:eastAsia="Calibri" w:hAnsi="Calibri" w:cs="Calibri"/>
                <w:b/>
                <w:bCs/>
                <w:color w:val="FFFFFF"/>
                <w:sz w:val="18"/>
                <w:szCs w:val="18"/>
              </w:rPr>
              <w:t>Threat event</w:t>
            </w:r>
          </w:p>
        </w:tc>
        <w:tc>
          <w:tcPr>
            <w:tcW w:w="1171" w:type="dxa"/>
            <w:shd w:val="clear" w:color="auto" w:fill="1F4E79"/>
            <w:tcMar>
              <w:top w:w="80" w:type="dxa"/>
              <w:left w:w="100" w:type="dxa"/>
              <w:bottom w:w="80" w:type="dxa"/>
              <w:right w:w="100" w:type="dxa"/>
            </w:tcMar>
          </w:tcPr>
          <w:p w14:paraId="29B68427" w14:textId="77777777" w:rsidR="00E63579" w:rsidRDefault="00000000" w:rsidP="009B7175">
            <w:pPr>
              <w:jc w:val="center"/>
            </w:pPr>
            <w:r>
              <w:rPr>
                <w:rFonts w:ascii="Calibri" w:eastAsia="Calibri" w:hAnsi="Calibri" w:cs="Calibri"/>
                <w:b/>
                <w:bCs/>
                <w:color w:val="FFFFFF"/>
                <w:sz w:val="18"/>
                <w:szCs w:val="18"/>
              </w:rPr>
              <w:t>Likelihood</w:t>
            </w:r>
          </w:p>
        </w:tc>
        <w:tc>
          <w:tcPr>
            <w:tcW w:w="1276" w:type="dxa"/>
            <w:shd w:val="clear" w:color="auto" w:fill="1F4E79"/>
            <w:tcMar>
              <w:top w:w="80" w:type="dxa"/>
              <w:left w:w="100" w:type="dxa"/>
              <w:bottom w:w="80" w:type="dxa"/>
              <w:right w:w="100" w:type="dxa"/>
            </w:tcMar>
          </w:tcPr>
          <w:p w14:paraId="59F89273" w14:textId="77777777" w:rsidR="00E63579" w:rsidRDefault="00000000" w:rsidP="009B7175">
            <w:pPr>
              <w:jc w:val="center"/>
            </w:pPr>
            <w:r>
              <w:rPr>
                <w:rFonts w:ascii="Calibri" w:eastAsia="Calibri" w:hAnsi="Calibri" w:cs="Calibri"/>
                <w:b/>
                <w:bCs/>
                <w:color w:val="FFFFFF"/>
                <w:sz w:val="18"/>
                <w:szCs w:val="18"/>
              </w:rPr>
              <w:t>Severity</w:t>
            </w:r>
          </w:p>
        </w:tc>
        <w:tc>
          <w:tcPr>
            <w:tcW w:w="1276" w:type="dxa"/>
            <w:shd w:val="clear" w:color="auto" w:fill="1F4E79"/>
            <w:tcMar>
              <w:top w:w="80" w:type="dxa"/>
              <w:left w:w="100" w:type="dxa"/>
              <w:bottom w:w="80" w:type="dxa"/>
              <w:right w:w="100" w:type="dxa"/>
            </w:tcMar>
          </w:tcPr>
          <w:p w14:paraId="30172E27" w14:textId="77777777" w:rsidR="00E63579" w:rsidRDefault="00000000" w:rsidP="009B7175">
            <w:pPr>
              <w:jc w:val="center"/>
            </w:pPr>
            <w:r>
              <w:rPr>
                <w:rFonts w:ascii="Calibri" w:eastAsia="Calibri" w:hAnsi="Calibri" w:cs="Calibri"/>
                <w:b/>
                <w:bCs/>
                <w:color w:val="FFFFFF"/>
                <w:sz w:val="18"/>
                <w:szCs w:val="18"/>
              </w:rPr>
              <w:t>Risk</w:t>
            </w:r>
          </w:p>
        </w:tc>
      </w:tr>
      <w:tr w:rsidR="00E63579" w14:paraId="6D789272" w14:textId="77777777" w:rsidTr="009B7175">
        <w:tblPrEx>
          <w:tblCellMar>
            <w:top w:w="0" w:type="dxa"/>
            <w:bottom w:w="0" w:type="dxa"/>
          </w:tblCellMar>
        </w:tblPrEx>
        <w:trPr>
          <w:trHeight w:val="301"/>
        </w:trPr>
        <w:tc>
          <w:tcPr>
            <w:tcW w:w="1782" w:type="dxa"/>
            <w:tcMar>
              <w:top w:w="80" w:type="dxa"/>
              <w:left w:w="100" w:type="dxa"/>
              <w:bottom w:w="80" w:type="dxa"/>
              <w:right w:w="100" w:type="dxa"/>
            </w:tcMar>
          </w:tcPr>
          <w:p w14:paraId="689244B7" w14:textId="77777777" w:rsidR="00E63579" w:rsidRDefault="00000000">
            <w:r>
              <w:rPr>
                <w:rFonts w:ascii="Calibri" w:eastAsia="Calibri" w:hAnsi="Calibri" w:cs="Calibri"/>
                <w:color w:val="1A1A1A"/>
                <w:sz w:val="18"/>
                <w:szCs w:val="18"/>
              </w:rPr>
              <w:t>Hacker (outsider)</w:t>
            </w:r>
          </w:p>
        </w:tc>
        <w:tc>
          <w:tcPr>
            <w:tcW w:w="4413" w:type="dxa"/>
            <w:tcMar>
              <w:top w:w="80" w:type="dxa"/>
              <w:left w:w="100" w:type="dxa"/>
              <w:bottom w:w="80" w:type="dxa"/>
              <w:right w:w="100" w:type="dxa"/>
            </w:tcMar>
          </w:tcPr>
          <w:p w14:paraId="4E631106" w14:textId="77777777" w:rsidR="00E63579" w:rsidRDefault="00000000">
            <w:r>
              <w:rPr>
                <w:rFonts w:ascii="Calibri" w:eastAsia="Calibri" w:hAnsi="Calibri" w:cs="Calibri"/>
                <w:color w:val="1A1A1A"/>
                <w:sz w:val="18"/>
                <w:szCs w:val="18"/>
              </w:rPr>
              <w:t>Obtain sensitive information via exfiltration</w:t>
            </w:r>
          </w:p>
        </w:tc>
        <w:tc>
          <w:tcPr>
            <w:tcW w:w="1171" w:type="dxa"/>
            <w:tcMar>
              <w:top w:w="80" w:type="dxa"/>
              <w:left w:w="100" w:type="dxa"/>
              <w:bottom w:w="80" w:type="dxa"/>
              <w:right w:w="100" w:type="dxa"/>
            </w:tcMar>
          </w:tcPr>
          <w:p w14:paraId="4990E646" w14:textId="77777777" w:rsidR="00E63579" w:rsidRDefault="00000000">
            <w:pPr>
              <w:jc w:val="center"/>
            </w:pPr>
            <w:r>
              <w:rPr>
                <w:rFonts w:ascii="Calibri" w:eastAsia="Calibri" w:hAnsi="Calibri" w:cs="Calibri"/>
                <w:color w:val="1A1A1A"/>
                <w:sz w:val="18"/>
                <w:szCs w:val="18"/>
              </w:rPr>
              <w:t>3</w:t>
            </w:r>
          </w:p>
        </w:tc>
        <w:tc>
          <w:tcPr>
            <w:tcW w:w="1276" w:type="dxa"/>
            <w:tcMar>
              <w:top w:w="80" w:type="dxa"/>
              <w:left w:w="100" w:type="dxa"/>
              <w:bottom w:w="80" w:type="dxa"/>
              <w:right w:w="100" w:type="dxa"/>
            </w:tcMar>
          </w:tcPr>
          <w:p w14:paraId="56DEF620" w14:textId="77777777" w:rsidR="00E63579" w:rsidRDefault="00000000">
            <w:pPr>
              <w:jc w:val="center"/>
            </w:pPr>
            <w:r>
              <w:rPr>
                <w:rFonts w:ascii="Calibri" w:eastAsia="Calibri" w:hAnsi="Calibri" w:cs="Calibri"/>
                <w:color w:val="1A1A1A"/>
                <w:sz w:val="18"/>
                <w:szCs w:val="18"/>
              </w:rPr>
              <w:t>3</w:t>
            </w:r>
          </w:p>
        </w:tc>
        <w:tc>
          <w:tcPr>
            <w:tcW w:w="1276" w:type="dxa"/>
            <w:shd w:val="clear" w:color="auto" w:fill="F5B9B9"/>
            <w:tcMar>
              <w:top w:w="80" w:type="dxa"/>
              <w:left w:w="100" w:type="dxa"/>
              <w:bottom w:w="80" w:type="dxa"/>
              <w:right w:w="100" w:type="dxa"/>
            </w:tcMar>
          </w:tcPr>
          <w:p w14:paraId="42951CA4" w14:textId="77777777" w:rsidR="00E63579" w:rsidRDefault="00000000">
            <w:pPr>
              <w:jc w:val="center"/>
            </w:pPr>
            <w:r w:rsidRPr="009B7175">
              <w:rPr>
                <w:rFonts w:ascii="Calibri" w:eastAsia="Calibri" w:hAnsi="Calibri" w:cs="Calibri"/>
                <w:b/>
                <w:bCs/>
                <w:color w:val="000000" w:themeColor="text1"/>
                <w:sz w:val="18"/>
                <w:szCs w:val="18"/>
              </w:rPr>
              <w:t>9</w:t>
            </w:r>
          </w:p>
        </w:tc>
      </w:tr>
      <w:tr w:rsidR="00E63579" w14:paraId="21F1DCA6" w14:textId="77777777" w:rsidTr="009B7175">
        <w:tblPrEx>
          <w:tblCellMar>
            <w:top w:w="0" w:type="dxa"/>
            <w:bottom w:w="0" w:type="dxa"/>
          </w:tblCellMar>
        </w:tblPrEx>
        <w:tc>
          <w:tcPr>
            <w:tcW w:w="1782" w:type="dxa"/>
            <w:shd w:val="clear" w:color="auto" w:fill="F7F9FB"/>
            <w:tcMar>
              <w:top w:w="80" w:type="dxa"/>
              <w:left w:w="100" w:type="dxa"/>
              <w:bottom w:w="80" w:type="dxa"/>
              <w:right w:w="100" w:type="dxa"/>
            </w:tcMar>
          </w:tcPr>
          <w:p w14:paraId="45971B92" w14:textId="77777777" w:rsidR="00E63579" w:rsidRDefault="00000000">
            <w:r>
              <w:rPr>
                <w:rFonts w:ascii="Calibri" w:eastAsia="Calibri" w:hAnsi="Calibri" w:cs="Calibri"/>
                <w:color w:val="1A1A1A"/>
                <w:sz w:val="18"/>
                <w:szCs w:val="18"/>
              </w:rPr>
              <w:t>Hacktivist (outsider)</w:t>
            </w:r>
          </w:p>
        </w:tc>
        <w:tc>
          <w:tcPr>
            <w:tcW w:w="4413" w:type="dxa"/>
            <w:shd w:val="clear" w:color="auto" w:fill="F7F9FB"/>
            <w:tcMar>
              <w:top w:w="80" w:type="dxa"/>
              <w:left w:w="100" w:type="dxa"/>
              <w:bottom w:w="80" w:type="dxa"/>
              <w:right w:w="100" w:type="dxa"/>
            </w:tcMar>
          </w:tcPr>
          <w:p w14:paraId="51098921" w14:textId="77777777" w:rsidR="00E63579" w:rsidRDefault="00000000">
            <w:r>
              <w:rPr>
                <w:rFonts w:ascii="Calibri" w:eastAsia="Calibri" w:hAnsi="Calibri" w:cs="Calibri"/>
                <w:color w:val="1A1A1A"/>
                <w:sz w:val="18"/>
                <w:szCs w:val="18"/>
              </w:rPr>
              <w:t>Conduct Denial of Service (DoS) attacks</w:t>
            </w:r>
          </w:p>
        </w:tc>
        <w:tc>
          <w:tcPr>
            <w:tcW w:w="1171" w:type="dxa"/>
            <w:shd w:val="clear" w:color="auto" w:fill="F7F9FB"/>
            <w:tcMar>
              <w:top w:w="80" w:type="dxa"/>
              <w:left w:w="100" w:type="dxa"/>
              <w:bottom w:w="80" w:type="dxa"/>
              <w:right w:w="100" w:type="dxa"/>
            </w:tcMar>
          </w:tcPr>
          <w:p w14:paraId="75DE8FB3" w14:textId="77777777" w:rsidR="00E63579" w:rsidRDefault="00000000">
            <w:pPr>
              <w:jc w:val="center"/>
            </w:pPr>
            <w:r>
              <w:rPr>
                <w:rFonts w:ascii="Calibri" w:eastAsia="Calibri" w:hAnsi="Calibri" w:cs="Calibri"/>
                <w:color w:val="1A1A1A"/>
                <w:sz w:val="18"/>
                <w:szCs w:val="18"/>
              </w:rPr>
              <w:t>2</w:t>
            </w:r>
          </w:p>
        </w:tc>
        <w:tc>
          <w:tcPr>
            <w:tcW w:w="1276" w:type="dxa"/>
            <w:shd w:val="clear" w:color="auto" w:fill="F7F9FB"/>
            <w:tcMar>
              <w:top w:w="80" w:type="dxa"/>
              <w:left w:w="100" w:type="dxa"/>
              <w:bottom w:w="80" w:type="dxa"/>
              <w:right w:w="100" w:type="dxa"/>
            </w:tcMar>
          </w:tcPr>
          <w:p w14:paraId="763BC8A0" w14:textId="77777777" w:rsidR="00E63579" w:rsidRDefault="00000000">
            <w:pPr>
              <w:jc w:val="center"/>
            </w:pPr>
            <w:r>
              <w:rPr>
                <w:rFonts w:ascii="Calibri" w:eastAsia="Calibri" w:hAnsi="Calibri" w:cs="Calibri"/>
                <w:color w:val="1A1A1A"/>
                <w:sz w:val="18"/>
                <w:szCs w:val="18"/>
              </w:rPr>
              <w:t>3</w:t>
            </w:r>
          </w:p>
        </w:tc>
        <w:tc>
          <w:tcPr>
            <w:tcW w:w="1276" w:type="dxa"/>
            <w:shd w:val="clear" w:color="auto" w:fill="FBD5B2"/>
            <w:tcMar>
              <w:top w:w="80" w:type="dxa"/>
              <w:left w:w="100" w:type="dxa"/>
              <w:bottom w:w="80" w:type="dxa"/>
              <w:right w:w="100" w:type="dxa"/>
            </w:tcMar>
          </w:tcPr>
          <w:p w14:paraId="6E8C930A" w14:textId="77777777" w:rsidR="00E63579" w:rsidRDefault="00000000">
            <w:pPr>
              <w:jc w:val="center"/>
            </w:pPr>
            <w:r w:rsidRPr="009B7175">
              <w:rPr>
                <w:rFonts w:ascii="Calibri" w:eastAsia="Calibri" w:hAnsi="Calibri" w:cs="Calibri"/>
                <w:b/>
                <w:bCs/>
                <w:color w:val="000000" w:themeColor="text1"/>
                <w:sz w:val="18"/>
                <w:szCs w:val="18"/>
              </w:rPr>
              <w:t>6</w:t>
            </w:r>
          </w:p>
        </w:tc>
      </w:tr>
      <w:tr w:rsidR="00E63579" w14:paraId="628EA11E" w14:textId="77777777" w:rsidTr="009B7175">
        <w:tblPrEx>
          <w:tblCellMar>
            <w:top w:w="0" w:type="dxa"/>
            <w:bottom w:w="0" w:type="dxa"/>
          </w:tblCellMar>
        </w:tblPrEx>
        <w:tc>
          <w:tcPr>
            <w:tcW w:w="1782" w:type="dxa"/>
            <w:tcMar>
              <w:top w:w="80" w:type="dxa"/>
              <w:left w:w="100" w:type="dxa"/>
              <w:bottom w:w="80" w:type="dxa"/>
              <w:right w:w="100" w:type="dxa"/>
            </w:tcMar>
          </w:tcPr>
          <w:p w14:paraId="56AA8314" w14:textId="77777777" w:rsidR="00E63579" w:rsidRDefault="00000000">
            <w:r>
              <w:rPr>
                <w:rFonts w:ascii="Calibri" w:eastAsia="Calibri" w:hAnsi="Calibri" w:cs="Calibri"/>
                <w:color w:val="1A1A1A"/>
                <w:sz w:val="18"/>
                <w:szCs w:val="18"/>
              </w:rPr>
              <w:t>Competitor (group)</w:t>
            </w:r>
          </w:p>
        </w:tc>
        <w:tc>
          <w:tcPr>
            <w:tcW w:w="4413" w:type="dxa"/>
            <w:tcMar>
              <w:top w:w="80" w:type="dxa"/>
              <w:left w:w="100" w:type="dxa"/>
              <w:bottom w:w="80" w:type="dxa"/>
              <w:right w:w="100" w:type="dxa"/>
            </w:tcMar>
          </w:tcPr>
          <w:p w14:paraId="667367A3" w14:textId="77777777" w:rsidR="00E63579" w:rsidRDefault="00000000">
            <w:r>
              <w:rPr>
                <w:rFonts w:ascii="Calibri" w:eastAsia="Calibri" w:hAnsi="Calibri" w:cs="Calibri"/>
                <w:color w:val="1A1A1A"/>
                <w:sz w:val="18"/>
                <w:szCs w:val="18"/>
              </w:rPr>
              <w:t>Perform reconnaissance and surveillance of organization</w:t>
            </w:r>
          </w:p>
        </w:tc>
        <w:tc>
          <w:tcPr>
            <w:tcW w:w="1171" w:type="dxa"/>
            <w:tcMar>
              <w:top w:w="80" w:type="dxa"/>
              <w:left w:w="100" w:type="dxa"/>
              <w:bottom w:w="80" w:type="dxa"/>
              <w:right w:w="100" w:type="dxa"/>
            </w:tcMar>
          </w:tcPr>
          <w:p w14:paraId="745BBC17" w14:textId="77777777" w:rsidR="00E63579" w:rsidRDefault="00000000">
            <w:pPr>
              <w:jc w:val="center"/>
            </w:pPr>
            <w:r>
              <w:rPr>
                <w:rFonts w:ascii="Calibri" w:eastAsia="Calibri" w:hAnsi="Calibri" w:cs="Calibri"/>
                <w:color w:val="1A1A1A"/>
                <w:sz w:val="18"/>
                <w:szCs w:val="18"/>
              </w:rPr>
              <w:t>3</w:t>
            </w:r>
          </w:p>
        </w:tc>
        <w:tc>
          <w:tcPr>
            <w:tcW w:w="1276" w:type="dxa"/>
            <w:tcMar>
              <w:top w:w="80" w:type="dxa"/>
              <w:left w:w="100" w:type="dxa"/>
              <w:bottom w:w="80" w:type="dxa"/>
              <w:right w:w="100" w:type="dxa"/>
            </w:tcMar>
          </w:tcPr>
          <w:p w14:paraId="7E4BC36D" w14:textId="77777777" w:rsidR="00E63579" w:rsidRDefault="00000000">
            <w:pPr>
              <w:jc w:val="center"/>
            </w:pPr>
            <w:r>
              <w:rPr>
                <w:rFonts w:ascii="Calibri" w:eastAsia="Calibri" w:hAnsi="Calibri" w:cs="Calibri"/>
                <w:color w:val="1A1A1A"/>
                <w:sz w:val="18"/>
                <w:szCs w:val="18"/>
              </w:rPr>
              <w:t>1</w:t>
            </w:r>
          </w:p>
        </w:tc>
        <w:tc>
          <w:tcPr>
            <w:tcW w:w="1276" w:type="dxa"/>
            <w:shd w:val="clear" w:color="auto" w:fill="D6E8D5"/>
            <w:tcMar>
              <w:top w:w="80" w:type="dxa"/>
              <w:left w:w="100" w:type="dxa"/>
              <w:bottom w:w="80" w:type="dxa"/>
              <w:right w:w="100" w:type="dxa"/>
            </w:tcMar>
          </w:tcPr>
          <w:p w14:paraId="3B951D37" w14:textId="77777777" w:rsidR="00E63579" w:rsidRDefault="00000000">
            <w:pPr>
              <w:jc w:val="center"/>
            </w:pPr>
            <w:r w:rsidRPr="009B7175">
              <w:rPr>
                <w:rFonts w:ascii="Calibri" w:eastAsia="Calibri" w:hAnsi="Calibri" w:cs="Calibri"/>
                <w:b/>
                <w:bCs/>
                <w:color w:val="000000" w:themeColor="text1"/>
                <w:sz w:val="18"/>
                <w:szCs w:val="18"/>
              </w:rPr>
              <w:t>3</w:t>
            </w:r>
          </w:p>
        </w:tc>
      </w:tr>
    </w:tbl>
    <w:p w14:paraId="14C7E972" w14:textId="77777777" w:rsidR="00E63579" w:rsidRDefault="00000000">
      <w:pPr>
        <w:spacing w:before="80" w:after="120"/>
      </w:pPr>
      <w:r>
        <w:rPr>
          <w:rFonts w:ascii="Calibri" w:eastAsia="Calibri" w:hAnsi="Calibri" w:cs="Calibri"/>
          <w:i/>
          <w:iCs/>
          <w:color w:val="555555"/>
          <w:sz w:val="16"/>
          <w:szCs w:val="16"/>
        </w:rPr>
        <w:t>Scoring per NIST SP 800-30 Rev. 1: likelihood (1 low, 2 moderate, 3 high) x severity (1 low, 2 moderate, 3 high) = risk (1 to 9).</w:t>
      </w:r>
    </w:p>
    <w:p w14:paraId="54538352" w14:textId="77777777" w:rsidR="00E63579" w:rsidRPr="009B7175" w:rsidRDefault="00000000">
      <w:pPr>
        <w:spacing w:before="240" w:after="90"/>
        <w:rPr>
          <w:color w:val="1F4E79"/>
        </w:rPr>
      </w:pPr>
      <w:r w:rsidRPr="009B7175">
        <w:rPr>
          <w:rFonts w:ascii="Calibri" w:eastAsia="Calibri" w:hAnsi="Calibri" w:cs="Calibri"/>
          <w:b/>
          <w:bCs/>
          <w:color w:val="1F4E79"/>
          <w:sz w:val="25"/>
          <w:szCs w:val="25"/>
        </w:rPr>
        <w:t>Approach</w:t>
      </w:r>
    </w:p>
    <w:p w14:paraId="22E1B084" w14:textId="77777777" w:rsidR="00E63579" w:rsidRDefault="00000000">
      <w:pPr>
        <w:spacing w:after="120" w:line="276" w:lineRule="auto"/>
      </w:pPr>
      <w:r>
        <w:rPr>
          <w:rFonts w:ascii="Calibri" w:eastAsia="Calibri" w:hAnsi="Calibri" w:cs="Calibri"/>
          <w:sz w:val="21"/>
          <w:szCs w:val="21"/>
        </w:rPr>
        <w:t>This is a qualitative assessment, so likelihood and severity were scored using security knowledge and judgment rather than statistical data. The three threats were selected because each follows directly from the central finding that the database has been publicly accessible for three years. Public exposure makes exfiltration almost certain and catastrophic given the customer data at stake, which is why it scores highest. A denial-of-service attack is somewhat less likely but would be severe, since disabling the server stops a remote workforce from operating. Reconnaissance is near certain against an open server but low in direct impact, acting mainly as a precursor to the other two events.</w:t>
      </w:r>
    </w:p>
    <w:p w14:paraId="473D759E" w14:textId="77777777" w:rsidR="00E63579" w:rsidRPr="009B7175" w:rsidRDefault="00000000">
      <w:pPr>
        <w:spacing w:before="240" w:after="90"/>
        <w:rPr>
          <w:color w:val="1F4E79"/>
        </w:rPr>
      </w:pPr>
      <w:r w:rsidRPr="009B7175">
        <w:rPr>
          <w:rFonts w:ascii="Calibri" w:eastAsia="Calibri" w:hAnsi="Calibri" w:cs="Calibri"/>
          <w:b/>
          <w:bCs/>
          <w:color w:val="1F4E79"/>
          <w:sz w:val="25"/>
          <w:szCs w:val="25"/>
        </w:rPr>
        <w:t>Remediation strategy</w:t>
      </w:r>
    </w:p>
    <w:p w14:paraId="1BD61B0C" w14:textId="77777777" w:rsidR="00E63579" w:rsidRDefault="00000000">
      <w:pPr>
        <w:spacing w:after="120" w:line="276" w:lineRule="auto"/>
      </w:pPr>
      <w:r>
        <w:rPr>
          <w:rFonts w:ascii="Calibri" w:eastAsia="Calibri" w:hAnsi="Calibri" w:cs="Calibri"/>
          <w:sz w:val="21"/>
          <w:szCs w:val="21"/>
        </w:rPr>
        <w:t xml:space="preserve">The root cause is unrestricted public access, so the priority control is IP allow-listing that limits connections to corporate networks and known office ranges, closing the exposure that drives all three risks. Authentication, authorization, and auditing should be enforced through role-based access control, a strong password policy, and </w:t>
      </w:r>
      <w:r>
        <w:rPr>
          <w:rFonts w:ascii="Calibri" w:eastAsia="Calibri" w:hAnsi="Calibri" w:cs="Calibri"/>
          <w:sz w:val="21"/>
          <w:szCs w:val="21"/>
        </w:rPr>
        <w:lastRenderedPageBreak/>
        <w:t>multi-factor authentication, applying least privilege so accounts hold only the access their role requires. Data in motion should use current TLS rather than legacy SSL to defend against interception and man-in-the-middle attempts. Rate limiting and DDoS protection at the network edge reduce the severity of denial-of-service attempts. Together these controls apply defense in depth across the identified risks.</w:t>
      </w:r>
    </w:p>
    <w:sectPr w:rsidR="00E63579">
      <w:pgSz w:w="12240" w:h="15840"/>
      <w:pgMar w:top="1080" w:right="1224" w:bottom="1008" w:left="122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200C72"/>
    <w:multiLevelType w:val="hybridMultilevel"/>
    <w:tmpl w:val="5B8A2FF4"/>
    <w:lvl w:ilvl="0" w:tplc="1F9E5E86">
      <w:start w:val="1"/>
      <w:numFmt w:val="bullet"/>
      <w:lvlText w:val="●"/>
      <w:lvlJc w:val="left"/>
      <w:pPr>
        <w:ind w:left="720" w:hanging="360"/>
      </w:pPr>
    </w:lvl>
    <w:lvl w:ilvl="1" w:tplc="D48A3F06">
      <w:start w:val="1"/>
      <w:numFmt w:val="bullet"/>
      <w:lvlText w:val="○"/>
      <w:lvlJc w:val="left"/>
      <w:pPr>
        <w:ind w:left="1440" w:hanging="360"/>
      </w:pPr>
    </w:lvl>
    <w:lvl w:ilvl="2" w:tplc="1FFC5CE2">
      <w:start w:val="1"/>
      <w:numFmt w:val="bullet"/>
      <w:lvlText w:val="■"/>
      <w:lvlJc w:val="left"/>
      <w:pPr>
        <w:ind w:left="2160" w:hanging="360"/>
      </w:pPr>
    </w:lvl>
    <w:lvl w:ilvl="3" w:tplc="AFDC30F4">
      <w:start w:val="1"/>
      <w:numFmt w:val="bullet"/>
      <w:lvlText w:val="●"/>
      <w:lvlJc w:val="left"/>
      <w:pPr>
        <w:ind w:left="2880" w:hanging="360"/>
      </w:pPr>
    </w:lvl>
    <w:lvl w:ilvl="4" w:tplc="85429BEA">
      <w:start w:val="1"/>
      <w:numFmt w:val="bullet"/>
      <w:lvlText w:val="○"/>
      <w:lvlJc w:val="left"/>
      <w:pPr>
        <w:ind w:left="3600" w:hanging="360"/>
      </w:pPr>
    </w:lvl>
    <w:lvl w:ilvl="5" w:tplc="0A0CD8DA">
      <w:start w:val="1"/>
      <w:numFmt w:val="bullet"/>
      <w:lvlText w:val="■"/>
      <w:lvlJc w:val="left"/>
      <w:pPr>
        <w:ind w:left="4320" w:hanging="360"/>
      </w:pPr>
    </w:lvl>
    <w:lvl w:ilvl="6" w:tplc="D8EC9928">
      <w:start w:val="1"/>
      <w:numFmt w:val="bullet"/>
      <w:lvlText w:val="●"/>
      <w:lvlJc w:val="left"/>
      <w:pPr>
        <w:ind w:left="5040" w:hanging="360"/>
      </w:pPr>
    </w:lvl>
    <w:lvl w:ilvl="7" w:tplc="2F3EE406">
      <w:start w:val="1"/>
      <w:numFmt w:val="bullet"/>
      <w:lvlText w:val="●"/>
      <w:lvlJc w:val="left"/>
      <w:pPr>
        <w:ind w:left="5760" w:hanging="360"/>
      </w:pPr>
    </w:lvl>
    <w:lvl w:ilvl="8" w:tplc="50E00548">
      <w:start w:val="1"/>
      <w:numFmt w:val="bullet"/>
      <w:lvlText w:val="●"/>
      <w:lvlJc w:val="left"/>
      <w:pPr>
        <w:ind w:left="6480" w:hanging="360"/>
      </w:pPr>
    </w:lvl>
  </w:abstractNum>
  <w:num w:numId="1" w16cid:durableId="171457190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579"/>
    <w:rsid w:val="009B7175"/>
    <w:rsid w:val="00E63579"/>
    <w:rsid w:val="00EC122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5534BD1E"/>
  <w15:docId w15:val="{02A6C1BD-B70F-E545-948F-38A8CF797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491</Words>
  <Characters>2800</Characters>
  <Application>Microsoft Office Word</Application>
  <DocSecurity>0</DocSecurity>
  <Lines>23</Lines>
  <Paragraphs>6</Paragraphs>
  <ScaleCrop>false</ScaleCrop>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Vulnerability assessment report</dc:title>
  <dc:creator>Lawal Oyinlola</dc:creator>
  <cp:lastModifiedBy>Microsoft Office User</cp:lastModifiedBy>
  <cp:revision>2</cp:revision>
  <dcterms:created xsi:type="dcterms:W3CDTF">2026-07-16T21:44:00Z</dcterms:created>
  <dcterms:modified xsi:type="dcterms:W3CDTF">2026-07-16T22:02:00Z</dcterms:modified>
</cp:coreProperties>
</file>