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1CB79C" w14:textId="1ABCAF72" w:rsidR="00B52D5A" w:rsidRPr="00B52D5A" w:rsidRDefault="00B52D5A" w:rsidP="00B52D5A">
      <w:pPr>
        <w:spacing w:after="100"/>
        <w:rPr>
          <w:rFonts w:ascii="Calibri" w:eastAsia="Calibri" w:hAnsi="Calibri" w:cs="Calibri"/>
          <w:b/>
          <w:bCs/>
          <w:color w:val="1F4E79"/>
          <w:sz w:val="34"/>
          <w:szCs w:val="34"/>
        </w:rPr>
      </w:pPr>
      <w:r w:rsidRPr="00B52D5A">
        <w:rPr>
          <w:rFonts w:ascii="Calibri" w:eastAsia="Calibri" w:hAnsi="Calibri" w:cs="Calibri"/>
          <w:b/>
          <w:bCs/>
          <w:color w:val="1F4E79"/>
          <w:sz w:val="34"/>
          <w:szCs w:val="34"/>
        </w:rPr>
        <w:t>PASTA threat model worksheet</w:t>
      </w:r>
    </w:p>
    <w:p w14:paraId="7D7EBEBB" w14:textId="634EF760" w:rsidR="00B52D5A" w:rsidRPr="00B52D5A" w:rsidRDefault="00B52D5A" w:rsidP="00B52D5A">
      <w:pPr>
        <w:pBdr>
          <w:bottom w:val="single" w:sz="14" w:space="0" w:color="C99A2E"/>
        </w:pBdr>
        <w:spacing w:after="60"/>
        <w:rPr>
          <w:rFonts w:ascii="Calibri" w:eastAsia="Calibri" w:hAnsi="Calibri" w:cs="Calibri"/>
          <w:i/>
          <w:iCs/>
          <w:color w:val="555555"/>
          <w:sz w:val="19"/>
          <w:szCs w:val="19"/>
        </w:rPr>
      </w:pPr>
      <w:r w:rsidRPr="00B52D5A">
        <w:rPr>
          <w:rFonts w:ascii="Calibri" w:eastAsia="Calibri" w:hAnsi="Calibri" w:cs="Calibri"/>
          <w:i/>
          <w:iCs/>
          <w:color w:val="555555"/>
          <w:sz w:val="19"/>
          <w:szCs w:val="19"/>
        </w:rPr>
        <w:t>Sneaker marketplace mobile app. Process for Attack Simulation and Threat Analysis.</w:t>
      </w:r>
    </w:p>
    <w:p w14:paraId="17123BC8" w14:textId="77777777" w:rsidR="00A571AD" w:rsidRPr="00B52D5A" w:rsidRDefault="00A571AD">
      <w:pPr>
        <w:widowControl w:val="0"/>
        <w:pBdr>
          <w:top w:val="nil"/>
          <w:left w:val="nil"/>
          <w:bottom w:val="nil"/>
          <w:right w:val="nil"/>
          <w:between w:val="nil"/>
        </w:pBdr>
        <w:rPr>
          <w:rFonts w:asciiTheme="majorHAnsi" w:hAnsiTheme="majorHAnsi" w:cstheme="majorHAnsi"/>
        </w:rPr>
      </w:pPr>
    </w:p>
    <w:p w14:paraId="4FD586E4" w14:textId="4CF425AA" w:rsidR="00B52D5A" w:rsidRPr="00B52D5A" w:rsidRDefault="00000000">
      <w:pPr>
        <w:rPr>
          <w:rFonts w:ascii="Calibri" w:hAnsi="Calibri" w:cs="Calibri"/>
          <w:sz w:val="21"/>
          <w:szCs w:val="21"/>
        </w:rPr>
      </w:pPr>
      <w:r w:rsidRPr="00B52D5A">
        <w:rPr>
          <w:rFonts w:ascii="Calibri" w:hAnsi="Calibri" w:cs="Calibri"/>
          <w:sz w:val="21"/>
          <w:szCs w:val="21"/>
        </w:rPr>
        <w:t>A threat model of a mobile app that lets sneaker enthusiasts buy and sell shoes. The app handles account management and payments, and its technical scope includes an API, PKI, SHA-256, and SQL. The seven PASTA stages below trace from business objectives through to the controls that reduce the identified risks.</w:t>
      </w:r>
    </w:p>
    <w:p w14:paraId="69863BAA" w14:textId="77777777" w:rsidR="00A571AD" w:rsidRPr="00B52D5A" w:rsidRDefault="00A571AD">
      <w:pPr>
        <w:widowControl w:val="0"/>
        <w:pBdr>
          <w:top w:val="nil"/>
          <w:left w:val="nil"/>
          <w:bottom w:val="nil"/>
          <w:right w:val="nil"/>
          <w:between w:val="nil"/>
        </w:pBdr>
        <w:rPr>
          <w:rFonts w:ascii="Calibri" w:hAnsi="Calibri" w:cs="Calibri"/>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7385"/>
      </w:tblGrid>
      <w:tr w:rsidR="00A571AD" w:rsidRPr="00B52D5A" w14:paraId="78801C37" w14:textId="77777777" w:rsidTr="00880662">
        <w:trPr>
          <w:tblHeader/>
        </w:trPr>
        <w:tc>
          <w:tcPr>
            <w:tcW w:w="1975" w:type="dxa"/>
            <w:shd w:val="clear" w:color="auto" w:fill="1F4E79"/>
            <w:tcMar>
              <w:top w:w="100" w:type="dxa"/>
              <w:left w:w="100" w:type="dxa"/>
              <w:bottom w:w="100" w:type="dxa"/>
              <w:right w:w="100" w:type="dxa"/>
            </w:tcMar>
          </w:tcPr>
          <w:p w14:paraId="5DABD9C0" w14:textId="77777777" w:rsidR="00A571AD" w:rsidRPr="00B52D5A" w:rsidRDefault="00000000">
            <w:pPr>
              <w:rPr>
                <w:rFonts w:ascii="Calibri" w:hAnsi="Calibri" w:cs="Calibri"/>
                <w:b/>
                <w:bCs/>
                <w:color w:val="FFFFFF" w:themeColor="background1"/>
                <w:sz w:val="18"/>
                <w:szCs w:val="18"/>
              </w:rPr>
            </w:pPr>
            <w:r w:rsidRPr="00B52D5A">
              <w:rPr>
                <w:rFonts w:ascii="Calibri" w:hAnsi="Calibri" w:cs="Calibri"/>
                <w:b/>
                <w:bCs/>
                <w:color w:val="FFFFFF" w:themeColor="background1"/>
                <w:sz w:val="18"/>
                <w:szCs w:val="18"/>
              </w:rPr>
              <w:t>Stage</w:t>
            </w:r>
          </w:p>
        </w:tc>
        <w:tc>
          <w:tcPr>
            <w:tcW w:w="7385" w:type="dxa"/>
            <w:tcMar>
              <w:top w:w="100" w:type="dxa"/>
              <w:left w:w="100" w:type="dxa"/>
              <w:bottom w:w="100" w:type="dxa"/>
              <w:right w:w="100" w:type="dxa"/>
            </w:tcMar>
          </w:tcPr>
          <w:p w14:paraId="24CD714B" w14:textId="77777777" w:rsidR="00A571AD" w:rsidRPr="00B52D5A" w:rsidRDefault="00000000">
            <w:pPr>
              <w:rPr>
                <w:rFonts w:ascii="Calibri" w:hAnsi="Calibri" w:cs="Calibri"/>
                <w:b/>
                <w:bCs/>
                <w:sz w:val="18"/>
                <w:szCs w:val="18"/>
              </w:rPr>
            </w:pPr>
            <w:r w:rsidRPr="00B52D5A">
              <w:rPr>
                <w:rFonts w:ascii="Calibri" w:hAnsi="Calibri" w:cs="Calibri"/>
                <w:b/>
                <w:bCs/>
                <w:sz w:val="18"/>
                <w:szCs w:val="18"/>
              </w:rPr>
              <w:t>Response</w:t>
            </w:r>
          </w:p>
        </w:tc>
      </w:tr>
      <w:tr w:rsidR="00A571AD" w:rsidRPr="00B52D5A" w14:paraId="38B71A9C" w14:textId="77777777" w:rsidTr="00880662">
        <w:tc>
          <w:tcPr>
            <w:tcW w:w="1975" w:type="dxa"/>
            <w:shd w:val="clear" w:color="auto" w:fill="1F4E79"/>
            <w:tcMar>
              <w:top w:w="100" w:type="dxa"/>
              <w:left w:w="100" w:type="dxa"/>
              <w:bottom w:w="100" w:type="dxa"/>
              <w:right w:w="100" w:type="dxa"/>
            </w:tcMar>
          </w:tcPr>
          <w:p w14:paraId="65C75F3E" w14:textId="77777777" w:rsidR="00A571AD" w:rsidRPr="00B52D5A" w:rsidRDefault="00000000">
            <w:pPr>
              <w:rPr>
                <w:rFonts w:ascii="Calibri" w:hAnsi="Calibri" w:cs="Calibri"/>
                <w:b/>
                <w:bCs/>
                <w:color w:val="FFFFFF" w:themeColor="background1"/>
                <w:sz w:val="18"/>
                <w:szCs w:val="18"/>
              </w:rPr>
            </w:pPr>
            <w:r w:rsidRPr="00B52D5A">
              <w:rPr>
                <w:rFonts w:ascii="Calibri" w:hAnsi="Calibri" w:cs="Calibri"/>
                <w:b/>
                <w:bCs/>
                <w:color w:val="FFFFFF" w:themeColor="background1"/>
                <w:sz w:val="18"/>
                <w:szCs w:val="18"/>
              </w:rPr>
              <w:t>I. Define business and security objectives</w:t>
            </w:r>
          </w:p>
        </w:tc>
        <w:tc>
          <w:tcPr>
            <w:tcW w:w="7385" w:type="dxa"/>
            <w:tcMar>
              <w:top w:w="100" w:type="dxa"/>
              <w:left w:w="100" w:type="dxa"/>
              <w:bottom w:w="100" w:type="dxa"/>
              <w:right w:w="100" w:type="dxa"/>
            </w:tcMar>
          </w:tcPr>
          <w:p w14:paraId="2C9DB1B4" w14:textId="77777777" w:rsidR="00A571AD" w:rsidRPr="00B52D5A" w:rsidRDefault="00000000">
            <w:pPr>
              <w:rPr>
                <w:rFonts w:ascii="Calibri" w:hAnsi="Calibri" w:cs="Calibri"/>
                <w:sz w:val="18"/>
                <w:szCs w:val="18"/>
              </w:rPr>
            </w:pPr>
            <w:r w:rsidRPr="00B52D5A">
              <w:rPr>
                <w:rFonts w:ascii="Calibri" w:hAnsi="Calibri" w:cs="Calibri"/>
                <w:sz w:val="18"/>
                <w:szCs w:val="18"/>
              </w:rPr>
              <w:t>The app processes financial transactions and must support multiple secure payment options with reliable checkout, which brings payment-card data into scope. It is a marketplace connecting sellers and shoppers, so it requires account sign-up, authentication, and account management. Data privacy and lawful payment handling are stated priorities, so the app must meet industry regulations such as PCI DSS and general data-protection expectations.</w:t>
            </w:r>
          </w:p>
        </w:tc>
      </w:tr>
      <w:tr w:rsidR="00A571AD" w:rsidRPr="00B52D5A" w14:paraId="6034758B" w14:textId="77777777" w:rsidTr="00880662">
        <w:tc>
          <w:tcPr>
            <w:tcW w:w="1975" w:type="dxa"/>
            <w:shd w:val="clear" w:color="auto" w:fill="1F4E79"/>
            <w:tcMar>
              <w:top w:w="100" w:type="dxa"/>
              <w:left w:w="100" w:type="dxa"/>
              <w:bottom w:w="100" w:type="dxa"/>
              <w:right w:w="100" w:type="dxa"/>
            </w:tcMar>
          </w:tcPr>
          <w:p w14:paraId="6384B2CE" w14:textId="77777777" w:rsidR="00A571AD" w:rsidRPr="00B52D5A" w:rsidRDefault="00000000">
            <w:pPr>
              <w:rPr>
                <w:rFonts w:ascii="Calibri" w:hAnsi="Calibri" w:cs="Calibri"/>
                <w:b/>
                <w:bCs/>
                <w:color w:val="FFFFFF" w:themeColor="background1"/>
                <w:sz w:val="18"/>
                <w:szCs w:val="18"/>
              </w:rPr>
            </w:pPr>
            <w:r w:rsidRPr="00B52D5A">
              <w:rPr>
                <w:rFonts w:ascii="Calibri" w:hAnsi="Calibri" w:cs="Calibri"/>
                <w:b/>
                <w:bCs/>
                <w:color w:val="FFFFFF" w:themeColor="background1"/>
                <w:sz w:val="18"/>
                <w:szCs w:val="18"/>
              </w:rPr>
              <w:t>II. Define the technical scope</w:t>
            </w:r>
          </w:p>
        </w:tc>
        <w:tc>
          <w:tcPr>
            <w:tcW w:w="7385" w:type="dxa"/>
            <w:tcMar>
              <w:top w:w="100" w:type="dxa"/>
              <w:left w:w="100" w:type="dxa"/>
              <w:bottom w:w="100" w:type="dxa"/>
              <w:right w:w="100" w:type="dxa"/>
            </w:tcMar>
          </w:tcPr>
          <w:p w14:paraId="74CC6465" w14:textId="77777777" w:rsidR="00A571AD" w:rsidRPr="00B52D5A" w:rsidRDefault="00000000">
            <w:pPr>
              <w:rPr>
                <w:rFonts w:ascii="Calibri" w:hAnsi="Calibri" w:cs="Calibri"/>
                <w:sz w:val="18"/>
                <w:szCs w:val="18"/>
              </w:rPr>
            </w:pPr>
            <w:r w:rsidRPr="00B52D5A">
              <w:rPr>
                <w:rFonts w:ascii="Calibri" w:hAnsi="Calibri" w:cs="Calibri"/>
                <w:sz w:val="18"/>
                <w:szCs w:val="18"/>
              </w:rPr>
              <w:t>I would evaluate SQL first because it interfaces directly with the database holding user credentials, personal data, and payment information, which makes it the primary target for injection attacks. A single flaw in how queries handle input could expose the entire dataset. The API is the next priority, as it is the exchange point for all client and server data.</w:t>
            </w:r>
          </w:p>
        </w:tc>
      </w:tr>
      <w:tr w:rsidR="00A571AD" w:rsidRPr="00B52D5A" w14:paraId="21BE3C51" w14:textId="77777777" w:rsidTr="00880662">
        <w:tc>
          <w:tcPr>
            <w:tcW w:w="1975" w:type="dxa"/>
            <w:shd w:val="clear" w:color="auto" w:fill="1F4E79"/>
            <w:tcMar>
              <w:top w:w="100" w:type="dxa"/>
              <w:left w:w="100" w:type="dxa"/>
              <w:bottom w:w="100" w:type="dxa"/>
              <w:right w:w="100" w:type="dxa"/>
            </w:tcMar>
          </w:tcPr>
          <w:p w14:paraId="578E4344" w14:textId="77777777" w:rsidR="00A571AD" w:rsidRPr="00B52D5A" w:rsidRDefault="00000000">
            <w:pPr>
              <w:rPr>
                <w:rFonts w:ascii="Calibri" w:hAnsi="Calibri" w:cs="Calibri"/>
                <w:b/>
                <w:bCs/>
                <w:color w:val="FFFFFF" w:themeColor="background1"/>
                <w:sz w:val="18"/>
                <w:szCs w:val="18"/>
              </w:rPr>
            </w:pPr>
            <w:r w:rsidRPr="00B52D5A">
              <w:rPr>
                <w:rFonts w:ascii="Calibri" w:hAnsi="Calibri" w:cs="Calibri"/>
                <w:b/>
                <w:bCs/>
                <w:color w:val="FFFFFF" w:themeColor="background1"/>
                <w:sz w:val="18"/>
                <w:szCs w:val="18"/>
              </w:rPr>
              <w:t>III. Decompose application</w:t>
            </w:r>
          </w:p>
        </w:tc>
        <w:tc>
          <w:tcPr>
            <w:tcW w:w="7385" w:type="dxa"/>
            <w:tcMar>
              <w:top w:w="100" w:type="dxa"/>
              <w:left w:w="100" w:type="dxa"/>
              <w:bottom w:w="100" w:type="dxa"/>
              <w:right w:w="100" w:type="dxa"/>
            </w:tcMar>
          </w:tcPr>
          <w:p w14:paraId="07B76584" w14:textId="77777777" w:rsidR="00A571AD" w:rsidRPr="00B52D5A" w:rsidRDefault="00000000">
            <w:pPr>
              <w:rPr>
                <w:rFonts w:ascii="Calibri" w:hAnsi="Calibri" w:cs="Calibri"/>
                <w:sz w:val="18"/>
                <w:szCs w:val="18"/>
              </w:rPr>
            </w:pPr>
            <w:r w:rsidRPr="00B52D5A">
              <w:rPr>
                <w:rFonts w:ascii="Calibri" w:hAnsi="Calibri" w:cs="Calibri"/>
                <w:sz w:val="18"/>
                <w:szCs w:val="18"/>
              </w:rPr>
              <w:t>The data flow diagram decomposes the product search process: the user submits a search query, the search process queries the database, and the database returns inventory listings. The trust boundary sits between untrusted user input and the database, so this single flow already shows where unsanitised input could reach SQL. Other processes such as login and checkout would be decomposed the same way.</w:t>
            </w:r>
          </w:p>
        </w:tc>
      </w:tr>
      <w:tr w:rsidR="00A571AD" w:rsidRPr="00B52D5A" w14:paraId="137674BD" w14:textId="77777777" w:rsidTr="00880662">
        <w:tc>
          <w:tcPr>
            <w:tcW w:w="1975" w:type="dxa"/>
            <w:shd w:val="clear" w:color="auto" w:fill="1F4E79"/>
            <w:tcMar>
              <w:top w:w="100" w:type="dxa"/>
              <w:left w:w="100" w:type="dxa"/>
              <w:bottom w:w="100" w:type="dxa"/>
              <w:right w:w="100" w:type="dxa"/>
            </w:tcMar>
          </w:tcPr>
          <w:p w14:paraId="1A1CAE38" w14:textId="77777777" w:rsidR="00A571AD" w:rsidRPr="00B52D5A" w:rsidRDefault="00000000">
            <w:pPr>
              <w:rPr>
                <w:rFonts w:ascii="Calibri" w:hAnsi="Calibri" w:cs="Calibri"/>
                <w:b/>
                <w:bCs/>
                <w:color w:val="FFFFFF" w:themeColor="background1"/>
                <w:sz w:val="18"/>
                <w:szCs w:val="18"/>
              </w:rPr>
            </w:pPr>
            <w:r w:rsidRPr="00B52D5A">
              <w:rPr>
                <w:rFonts w:ascii="Calibri" w:hAnsi="Calibri" w:cs="Calibri"/>
                <w:b/>
                <w:bCs/>
                <w:color w:val="FFFFFF" w:themeColor="background1"/>
                <w:sz w:val="18"/>
                <w:szCs w:val="18"/>
              </w:rPr>
              <w:t>IV. Threat analysis</w:t>
            </w:r>
          </w:p>
        </w:tc>
        <w:tc>
          <w:tcPr>
            <w:tcW w:w="7385" w:type="dxa"/>
            <w:tcMar>
              <w:top w:w="100" w:type="dxa"/>
              <w:left w:w="100" w:type="dxa"/>
              <w:bottom w:w="100" w:type="dxa"/>
              <w:right w:w="100" w:type="dxa"/>
            </w:tcMar>
          </w:tcPr>
          <w:p w14:paraId="5954560F" w14:textId="008A6966" w:rsidR="00A571AD" w:rsidRPr="00B52D5A" w:rsidRDefault="00000000">
            <w:pPr>
              <w:rPr>
                <w:rFonts w:ascii="Calibri" w:hAnsi="Calibri" w:cs="Calibri"/>
                <w:sz w:val="18"/>
                <w:szCs w:val="18"/>
              </w:rPr>
            </w:pPr>
            <w:r w:rsidRPr="00880662">
              <w:rPr>
                <w:rFonts w:ascii="Calibri" w:hAnsi="Calibri" w:cs="Calibri"/>
                <w:b/>
                <w:bCs/>
                <w:sz w:val="18"/>
                <w:szCs w:val="18"/>
              </w:rPr>
              <w:t>Internal:</w:t>
            </w:r>
            <w:r w:rsidRPr="00B52D5A">
              <w:rPr>
                <w:rFonts w:ascii="Calibri" w:hAnsi="Calibri" w:cs="Calibri"/>
                <w:sz w:val="18"/>
                <w:szCs w:val="18"/>
              </w:rPr>
              <w:t xml:space="preserve"> an insider or compromised internal account, such as an employee with broad database access, misusing or exfiltrating user and payment data. </w:t>
            </w:r>
            <w:r w:rsidR="00880662">
              <w:rPr>
                <w:rFonts w:ascii="Calibri" w:hAnsi="Calibri" w:cs="Calibri"/>
                <w:sz w:val="18"/>
                <w:szCs w:val="18"/>
              </w:rPr>
              <w:br/>
            </w:r>
            <w:r w:rsidRPr="00880662">
              <w:rPr>
                <w:rFonts w:ascii="Calibri" w:hAnsi="Calibri" w:cs="Calibri"/>
                <w:b/>
                <w:bCs/>
                <w:sz w:val="18"/>
                <w:szCs w:val="18"/>
              </w:rPr>
              <w:t>External:</w:t>
            </w:r>
            <w:r w:rsidRPr="00B52D5A">
              <w:rPr>
                <w:rFonts w:ascii="Calibri" w:hAnsi="Calibri" w:cs="Calibri"/>
                <w:sz w:val="18"/>
                <w:szCs w:val="18"/>
              </w:rPr>
              <w:t xml:space="preserve"> an outside attacker targeting the app's inputs and authentication, for example injecting malicious SQL through the search or login forms, or hijacking a user session.</w:t>
            </w:r>
          </w:p>
        </w:tc>
      </w:tr>
      <w:tr w:rsidR="00A571AD" w:rsidRPr="00B52D5A" w14:paraId="25D3DFBC" w14:textId="77777777" w:rsidTr="00880662">
        <w:tc>
          <w:tcPr>
            <w:tcW w:w="1975" w:type="dxa"/>
            <w:shd w:val="clear" w:color="auto" w:fill="1F4E79"/>
            <w:tcMar>
              <w:top w:w="100" w:type="dxa"/>
              <w:left w:w="100" w:type="dxa"/>
              <w:bottom w:w="100" w:type="dxa"/>
              <w:right w:w="100" w:type="dxa"/>
            </w:tcMar>
          </w:tcPr>
          <w:p w14:paraId="426930BB" w14:textId="77777777" w:rsidR="00A571AD" w:rsidRPr="00B52D5A" w:rsidRDefault="00000000">
            <w:pPr>
              <w:rPr>
                <w:rFonts w:ascii="Calibri" w:hAnsi="Calibri" w:cs="Calibri"/>
                <w:b/>
                <w:bCs/>
                <w:color w:val="FFFFFF" w:themeColor="background1"/>
                <w:sz w:val="18"/>
                <w:szCs w:val="18"/>
              </w:rPr>
            </w:pPr>
            <w:r w:rsidRPr="00B52D5A">
              <w:rPr>
                <w:rFonts w:ascii="Calibri" w:hAnsi="Calibri" w:cs="Calibri"/>
                <w:b/>
                <w:bCs/>
                <w:color w:val="FFFFFF" w:themeColor="background1"/>
                <w:sz w:val="18"/>
                <w:szCs w:val="18"/>
              </w:rPr>
              <w:t>V. Vulnerability analysis</w:t>
            </w:r>
          </w:p>
        </w:tc>
        <w:tc>
          <w:tcPr>
            <w:tcW w:w="7385" w:type="dxa"/>
            <w:tcMar>
              <w:top w:w="100" w:type="dxa"/>
              <w:left w:w="100" w:type="dxa"/>
              <w:bottom w:w="100" w:type="dxa"/>
              <w:right w:w="100" w:type="dxa"/>
            </w:tcMar>
          </w:tcPr>
          <w:p w14:paraId="3DADFDAA" w14:textId="77777777" w:rsidR="00880662" w:rsidRDefault="00000000">
            <w:pPr>
              <w:rPr>
                <w:rFonts w:ascii="Calibri" w:hAnsi="Calibri" w:cs="Calibri"/>
                <w:sz w:val="18"/>
                <w:szCs w:val="18"/>
              </w:rPr>
            </w:pPr>
            <w:r w:rsidRPr="00880662">
              <w:rPr>
                <w:rFonts w:ascii="Calibri" w:hAnsi="Calibri" w:cs="Calibri"/>
                <w:b/>
                <w:bCs/>
                <w:sz w:val="18"/>
                <w:szCs w:val="18"/>
              </w:rPr>
              <w:t>SQL injection</w:t>
            </w:r>
            <w:r w:rsidRPr="00B52D5A">
              <w:rPr>
                <w:rFonts w:ascii="Calibri" w:hAnsi="Calibri" w:cs="Calibri"/>
                <w:sz w:val="18"/>
                <w:szCs w:val="18"/>
              </w:rPr>
              <w:t xml:space="preserve"> caused by a lack of prepared statements or parameterized queries, allowing untrusted input to alter database queries.</w:t>
            </w:r>
          </w:p>
          <w:p w14:paraId="587F4701" w14:textId="1CAA8563" w:rsidR="00A571AD" w:rsidRPr="00B52D5A" w:rsidRDefault="00000000">
            <w:pPr>
              <w:rPr>
                <w:rFonts w:ascii="Calibri" w:hAnsi="Calibri" w:cs="Calibri"/>
                <w:sz w:val="18"/>
                <w:szCs w:val="18"/>
              </w:rPr>
            </w:pPr>
            <w:r w:rsidRPr="00880662">
              <w:rPr>
                <w:rFonts w:ascii="Calibri" w:hAnsi="Calibri" w:cs="Calibri"/>
                <w:b/>
                <w:bCs/>
                <w:sz w:val="18"/>
                <w:szCs w:val="18"/>
              </w:rPr>
              <w:t>Weak authentication</w:t>
            </w:r>
            <w:r w:rsidRPr="00B52D5A">
              <w:rPr>
                <w:rFonts w:ascii="Calibri" w:hAnsi="Calibri" w:cs="Calibri"/>
                <w:sz w:val="18"/>
                <w:szCs w:val="18"/>
              </w:rPr>
              <w:t>, such as weak login credential policies and no multi-factor authentication, enabling session hijacking and account takeover.</w:t>
            </w:r>
          </w:p>
        </w:tc>
      </w:tr>
      <w:tr w:rsidR="00A571AD" w:rsidRPr="00B52D5A" w14:paraId="7D9AAB2C" w14:textId="77777777" w:rsidTr="00880662">
        <w:tc>
          <w:tcPr>
            <w:tcW w:w="1975" w:type="dxa"/>
            <w:shd w:val="clear" w:color="auto" w:fill="1F4E79"/>
            <w:tcMar>
              <w:top w:w="100" w:type="dxa"/>
              <w:left w:w="100" w:type="dxa"/>
              <w:bottom w:w="100" w:type="dxa"/>
              <w:right w:w="100" w:type="dxa"/>
            </w:tcMar>
          </w:tcPr>
          <w:p w14:paraId="4C3AF820" w14:textId="77777777" w:rsidR="00A571AD" w:rsidRPr="00B52D5A" w:rsidRDefault="00000000">
            <w:pPr>
              <w:rPr>
                <w:rFonts w:ascii="Calibri" w:hAnsi="Calibri" w:cs="Calibri"/>
                <w:b/>
                <w:bCs/>
                <w:color w:val="FFFFFF" w:themeColor="background1"/>
                <w:sz w:val="18"/>
                <w:szCs w:val="18"/>
              </w:rPr>
            </w:pPr>
            <w:r w:rsidRPr="00B52D5A">
              <w:rPr>
                <w:rFonts w:ascii="Calibri" w:hAnsi="Calibri" w:cs="Calibri"/>
                <w:b/>
                <w:bCs/>
                <w:color w:val="FFFFFF" w:themeColor="background1"/>
                <w:sz w:val="18"/>
                <w:szCs w:val="18"/>
              </w:rPr>
              <w:t>VI. Attack modeling</w:t>
            </w:r>
          </w:p>
        </w:tc>
        <w:tc>
          <w:tcPr>
            <w:tcW w:w="7385" w:type="dxa"/>
            <w:tcMar>
              <w:top w:w="100" w:type="dxa"/>
              <w:left w:w="100" w:type="dxa"/>
              <w:bottom w:w="100" w:type="dxa"/>
              <w:right w:w="100" w:type="dxa"/>
            </w:tcMar>
          </w:tcPr>
          <w:p w14:paraId="0D4DD2BF" w14:textId="77777777" w:rsidR="00A571AD" w:rsidRPr="00B52D5A" w:rsidRDefault="00000000">
            <w:pPr>
              <w:rPr>
                <w:rFonts w:ascii="Calibri" w:hAnsi="Calibri" w:cs="Calibri"/>
                <w:sz w:val="18"/>
                <w:szCs w:val="18"/>
              </w:rPr>
            </w:pPr>
            <w:r w:rsidRPr="00B52D5A">
              <w:rPr>
                <w:rFonts w:ascii="Calibri" w:hAnsi="Calibri" w:cs="Calibri"/>
                <w:sz w:val="18"/>
                <w:szCs w:val="18"/>
              </w:rPr>
              <w:t>The attack tree sets the attacker goal as obtaining user data, with two branches. The first reaches it through SQL injection, enabled by a lack of prepared statements. The second reaches it through session hijacking, enabled by weak login credentials. Both branches map directly to the vulnerabilities listed in Stage V.</w:t>
            </w:r>
          </w:p>
        </w:tc>
      </w:tr>
      <w:tr w:rsidR="00A571AD" w:rsidRPr="00B52D5A" w14:paraId="30D8AA84" w14:textId="77777777" w:rsidTr="00880662">
        <w:tc>
          <w:tcPr>
            <w:tcW w:w="1975" w:type="dxa"/>
            <w:shd w:val="clear" w:color="auto" w:fill="1F4E79"/>
            <w:tcMar>
              <w:top w:w="100" w:type="dxa"/>
              <w:left w:w="100" w:type="dxa"/>
              <w:bottom w:w="100" w:type="dxa"/>
              <w:right w:w="100" w:type="dxa"/>
            </w:tcMar>
          </w:tcPr>
          <w:p w14:paraId="31A5A342" w14:textId="77777777" w:rsidR="00A571AD" w:rsidRPr="00B52D5A" w:rsidRDefault="00000000">
            <w:pPr>
              <w:rPr>
                <w:rFonts w:ascii="Calibri" w:hAnsi="Calibri" w:cs="Calibri"/>
                <w:b/>
                <w:bCs/>
                <w:color w:val="FFFFFF" w:themeColor="background1"/>
                <w:sz w:val="18"/>
                <w:szCs w:val="18"/>
              </w:rPr>
            </w:pPr>
            <w:r w:rsidRPr="00B52D5A">
              <w:rPr>
                <w:rFonts w:ascii="Calibri" w:hAnsi="Calibri" w:cs="Calibri"/>
                <w:b/>
                <w:bCs/>
                <w:color w:val="FFFFFF" w:themeColor="background1"/>
                <w:sz w:val="18"/>
                <w:szCs w:val="18"/>
              </w:rPr>
              <w:t>VII. Risk analysis and impact</w:t>
            </w:r>
          </w:p>
        </w:tc>
        <w:tc>
          <w:tcPr>
            <w:tcW w:w="7385" w:type="dxa"/>
            <w:tcMar>
              <w:top w:w="100" w:type="dxa"/>
              <w:left w:w="100" w:type="dxa"/>
              <w:bottom w:w="100" w:type="dxa"/>
              <w:right w:w="100" w:type="dxa"/>
            </w:tcMar>
          </w:tcPr>
          <w:p w14:paraId="0E63D5E7" w14:textId="77777777" w:rsidR="00880662" w:rsidRDefault="00000000">
            <w:pPr>
              <w:rPr>
                <w:rFonts w:ascii="Calibri" w:hAnsi="Calibri" w:cs="Calibri"/>
                <w:sz w:val="18"/>
                <w:szCs w:val="18"/>
              </w:rPr>
            </w:pPr>
            <w:r w:rsidRPr="00B52D5A">
              <w:rPr>
                <w:rFonts w:ascii="Calibri" w:hAnsi="Calibri" w:cs="Calibri"/>
                <w:sz w:val="18"/>
                <w:szCs w:val="18"/>
              </w:rPr>
              <w:t xml:space="preserve">1. Prepared statements and parameterized queries with input validation, to prevent SQL injection. </w:t>
            </w:r>
            <w:r w:rsidRPr="00B52D5A">
              <w:rPr>
                <w:rFonts w:ascii="Calibri" w:hAnsi="Calibri" w:cs="Calibri"/>
                <w:sz w:val="18"/>
                <w:szCs w:val="18"/>
              </w:rPr>
              <w:br/>
              <w:t>2. Multi-factor authentication, a strong password policy, and secure session management, to prevent session hijacking and account takeover.</w:t>
            </w:r>
          </w:p>
          <w:p w14:paraId="77DAF13E" w14:textId="77777777" w:rsidR="00880662" w:rsidRDefault="00000000">
            <w:pPr>
              <w:rPr>
                <w:rFonts w:ascii="Calibri" w:hAnsi="Calibri" w:cs="Calibri"/>
                <w:sz w:val="18"/>
                <w:szCs w:val="18"/>
              </w:rPr>
            </w:pPr>
            <w:r w:rsidRPr="00B52D5A">
              <w:rPr>
                <w:rFonts w:ascii="Calibri" w:hAnsi="Calibri" w:cs="Calibri"/>
                <w:sz w:val="18"/>
                <w:szCs w:val="18"/>
              </w:rPr>
              <w:t xml:space="preserve"> 3. Encryption of data in transit and at rest, using TLS through PKI, AES for stored data, and SHA-256 hashing for passwords. </w:t>
            </w:r>
          </w:p>
          <w:p w14:paraId="3A74E096" w14:textId="3860E26B" w:rsidR="00A571AD" w:rsidRPr="00B52D5A" w:rsidRDefault="00000000">
            <w:pPr>
              <w:rPr>
                <w:rFonts w:ascii="Calibri" w:hAnsi="Calibri" w:cs="Calibri"/>
                <w:sz w:val="18"/>
                <w:szCs w:val="18"/>
              </w:rPr>
            </w:pPr>
            <w:r w:rsidRPr="00B52D5A">
              <w:rPr>
                <w:rFonts w:ascii="Calibri" w:hAnsi="Calibri" w:cs="Calibri"/>
                <w:sz w:val="18"/>
                <w:szCs w:val="18"/>
              </w:rPr>
              <w:t>4. Principle of least privilege and role-based access control on the database and API, to limit insider misuse and contain any breach.</w:t>
            </w:r>
          </w:p>
        </w:tc>
      </w:tr>
    </w:tbl>
    <w:p w14:paraId="0312637F" w14:textId="77777777" w:rsidR="00A571AD" w:rsidRPr="00B52D5A" w:rsidRDefault="00A571AD">
      <w:pPr>
        <w:rPr>
          <w:rFonts w:asciiTheme="majorHAnsi" w:hAnsiTheme="majorHAnsi" w:cstheme="majorHAnsi"/>
        </w:rPr>
      </w:pPr>
    </w:p>
    <w:sectPr w:rsidR="00A571AD" w:rsidRPr="00B52D5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1527C00-5C37-194F-9F75-B1E32D3C746C}"/>
    <w:embedBold r:id="rId2" w:fontKey="{D9E64A2D-868C-3D40-B30F-51DA04F32CCD}"/>
    <w:embedItalic r:id="rId3" w:fontKey="{2D798EA1-0D63-8D4E-8E0B-B30D4A48A044}"/>
  </w:font>
  <w:font w:name="Times New Roman">
    <w:panose1 w:val="02020603050405020304"/>
    <w:charset w:val="00"/>
    <w:family w:val="roman"/>
    <w:pitch w:val="variable"/>
    <w:sig w:usb0="E0002EFF" w:usb1="C000785B" w:usb2="00000009" w:usb3="00000000" w:csb0="000001FF" w:csb1="00000000"/>
    <w:embedRegular r:id="rId4" w:fontKey="{6E0D3A5D-C7E2-1044-9193-A6A4800834EA}"/>
  </w:font>
  <w:font w:name="Calibri">
    <w:panose1 w:val="020F0502020204030204"/>
    <w:charset w:val="00"/>
    <w:family w:val="swiss"/>
    <w:pitch w:val="variable"/>
    <w:sig w:usb0="E0002AFF" w:usb1="C000247B" w:usb2="00000009" w:usb3="00000000" w:csb0="000001FF" w:csb1="00000000"/>
    <w:embedRegular r:id="rId5" w:fontKey="{EC82F250-FD54-7645-B494-E966283DE3A1}"/>
    <w:embedBold r:id="rId6" w:fontKey="{BCE2D307-3B18-EF4E-9F2B-B82133D44B44}"/>
    <w:embedItalic r:id="rId7" w:fontKey="{08144012-1874-2D48-961F-66FCFA0B49FA}"/>
  </w:font>
  <w:font w:name="Cambria">
    <w:panose1 w:val="02040503050406030204"/>
    <w:charset w:val="00"/>
    <w:family w:val="roman"/>
    <w:pitch w:val="variable"/>
    <w:sig w:usb0="E00006FF" w:usb1="420024FF" w:usb2="02000000" w:usb3="00000000" w:csb0="0000019F" w:csb1="00000000"/>
    <w:embedRegular r:id="rId8" w:fontKey="{DD1117EA-0BF8-FB4B-A767-F5ED9BF8EFC1}"/>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AD"/>
    <w:rsid w:val="006D2BB8"/>
    <w:rsid w:val="00880662"/>
    <w:rsid w:val="00A571AD"/>
    <w:rsid w:val="00B52D5A"/>
    <w:rsid w:val="00EC122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84D8F40"/>
  <w15:docId w15:val="{02A6C1BD-B70F-E545-948F-38A8CF797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NG"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D5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2026-07-18T10:14:00Z</dcterms:created>
  <dcterms:modified xsi:type="dcterms:W3CDTF">2026-07-18T15:48:00Z</dcterms:modified>
</cp:coreProperties>
</file>