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pPr>
      <w:r>
        <w:rPr>
          <w:rFonts w:ascii="Calibri" w:cs="Calibri" w:eastAsia="Calibri" w:hAnsi="Calibri"/>
          <w:b/>
          <w:bCs/>
          <w:color w:val="1F4E79"/>
          <w:sz w:val="34"/>
          <w:szCs w:val="34"/>
        </w:rPr>
        <w:t xml:space="preserve">Risk Register</w:t>
      </w:r>
    </w:p>
    <w:p>
      <w:pPr>
        <w:spacing w:after="120" w:before="280"/>
      </w:pPr>
      <w:r>
        <w:rPr>
          <w:rFonts w:ascii="Calibri" w:cs="Calibri" w:eastAsia="Calibri" w:hAnsi="Calibri"/>
          <w:b/>
          <w:bCs/>
          <w:color w:val="1F4E79"/>
          <w:sz w:val="25"/>
          <w:szCs w:val="25"/>
        </w:rPr>
        <w:t xml:space="preserve">Operational environment</w:t>
      </w:r>
    </w:p>
    <w:p>
      <w:pPr>
        <w:spacing w:after="160" w:before="0" w:line="300"/>
      </w:pPr>
      <w:r>
        <w:rPr>
          <w:rFonts w:ascii="Calibri" w:cs="Calibri" w:eastAsia="Calibri" w:hAnsi="Calibri"/>
          <w:i/>
          <w:iCs/>
          <w:sz w:val="21"/>
          <w:szCs w:val="21"/>
        </w:rPr>
        <w:t xml:space="preserve">The bank is located in a coastal area with low crime rates. Many people and systems handle the bank's data: 100 on-premise employees and 20 remote employees. The customer base of the bank includes 2,000 individual accounts and 200 commercial accounts. The bank's services are marketed by a professional sports team and ten local businesses in the community. There are strict financial regulations that require the bank to secure their data and funds, like having enough cash available each day to meet Federal Reserve requirements.</w:t>
      </w:r>
    </w:p>
    <w:p>
      <w:pPr>
        <w:spacing w:after="120" w:before="280"/>
      </w:pPr>
      <w:r>
        <w:rPr>
          <w:rFonts w:ascii="Calibri" w:cs="Calibri" w:eastAsia="Calibri" w:hAnsi="Calibri"/>
          <w:b/>
          <w:bCs/>
          <w:color w:val="1F4E79"/>
          <w:sz w:val="25"/>
          <w:szCs w:val="25"/>
        </w:rPr>
        <w:t xml:space="preserve">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750"/>
        <w:gridCol w:w="3060"/>
        <w:gridCol w:w="1150"/>
        <w:gridCol w:w="1100"/>
        <w:gridCol w:w="1300"/>
      </w:tblGrid>
      <w:tr>
        <w:trPr>
          <w:tblHeader/>
        </w:trPr>
        <w:tc>
          <w:tcPr>
            <w:tcW w:type="dxa" w:w="1000"/>
            <w:tcBorders>
              <w:top w:val="single" w:color="BFBFBF" w:sz="4"/>
              <w:left w:val="single" w:color="BFBFBF" w:sz="4"/>
              <w:bottom w:val="single" w:color="BFBFBF" w:sz="4"/>
              <w:right w:val="single" w:color="BFBFBF" w:sz="4"/>
            </w:tcBorders>
            <w:shd w:fill="1F4E79" w:color="auto" w:val="clear"/>
            <w:tcMar>
              <w:top w:type="dxa" w:w="90"/>
              <w:left w:type="dxa" w:w="110"/>
              <w:bottom w:type="dxa" w:w="90"/>
              <w:right w:type="dxa" w:w="110"/>
            </w:tcMar>
          </w:tcPr>
          <w:p>
            <w:pPr>
              <w:jc w:val="center"/>
            </w:pPr>
            <w:r>
              <w:rPr>
                <w:rFonts w:ascii="Calibri" w:cs="Calibri" w:eastAsia="Calibri" w:hAnsi="Calibri"/>
                <w:b/>
                <w:bCs/>
                <w:color w:val="FFFFFF"/>
                <w:sz w:val="19"/>
                <w:szCs w:val="19"/>
              </w:rPr>
              <w:t xml:space="preserve">Asset</w:t>
            </w:r>
          </w:p>
        </w:tc>
        <w:tc>
          <w:tcPr>
            <w:tcW w:type="dxa" w:w="1750"/>
            <w:tcBorders>
              <w:top w:val="single" w:color="BFBFBF" w:sz="4"/>
              <w:left w:val="single" w:color="BFBFBF" w:sz="4"/>
              <w:bottom w:val="single" w:color="BFBFBF" w:sz="4"/>
              <w:right w:val="single" w:color="BFBFBF" w:sz="4"/>
            </w:tcBorders>
            <w:shd w:fill="1F4E79" w:color="auto" w:val="clear"/>
            <w:tcMar>
              <w:top w:type="dxa" w:w="90"/>
              <w:left w:type="dxa" w:w="110"/>
              <w:bottom w:type="dxa" w:w="90"/>
              <w:right w:type="dxa" w:w="110"/>
            </w:tcMar>
          </w:tcPr>
          <w:p>
            <w:pPr>
              <w:jc w:val="center"/>
            </w:pPr>
            <w:r>
              <w:rPr>
                <w:rFonts w:ascii="Calibri" w:cs="Calibri" w:eastAsia="Calibri" w:hAnsi="Calibri"/>
                <w:b/>
                <w:bCs/>
                <w:color w:val="FFFFFF"/>
                <w:sz w:val="19"/>
                <w:szCs w:val="19"/>
              </w:rPr>
              <w:t xml:space="preserve">Risk(s)</w:t>
            </w:r>
          </w:p>
        </w:tc>
        <w:tc>
          <w:tcPr>
            <w:tcW w:type="dxa" w:w="3060"/>
            <w:tcBorders>
              <w:top w:val="single" w:color="BFBFBF" w:sz="4"/>
              <w:left w:val="single" w:color="BFBFBF" w:sz="4"/>
              <w:bottom w:val="single" w:color="BFBFBF" w:sz="4"/>
              <w:right w:val="single" w:color="BFBFBF" w:sz="4"/>
            </w:tcBorders>
            <w:shd w:fill="1F4E79" w:color="auto" w:val="clear"/>
            <w:tcMar>
              <w:top w:type="dxa" w:w="90"/>
              <w:left w:type="dxa" w:w="110"/>
              <w:bottom w:type="dxa" w:w="90"/>
              <w:right w:type="dxa" w:w="110"/>
            </w:tcMar>
          </w:tcPr>
          <w:p>
            <w:pPr>
              <w:jc w:val="center"/>
            </w:pPr>
            <w:r>
              <w:rPr>
                <w:rFonts w:ascii="Calibri" w:cs="Calibri" w:eastAsia="Calibri" w:hAnsi="Calibri"/>
                <w:b/>
                <w:bCs/>
                <w:color w:val="FFFFFF"/>
                <w:sz w:val="19"/>
                <w:szCs w:val="19"/>
              </w:rPr>
              <w:t xml:space="preserve">Description</w:t>
            </w:r>
          </w:p>
        </w:tc>
        <w:tc>
          <w:tcPr>
            <w:tcW w:type="dxa" w:w="1150"/>
            <w:tcBorders>
              <w:top w:val="single" w:color="BFBFBF" w:sz="4"/>
              <w:left w:val="single" w:color="BFBFBF" w:sz="4"/>
              <w:bottom w:val="single" w:color="BFBFBF" w:sz="4"/>
              <w:right w:val="single" w:color="BFBFBF" w:sz="4"/>
            </w:tcBorders>
            <w:shd w:fill="1F4E79" w:color="auto" w:val="clear"/>
            <w:tcMar>
              <w:top w:type="dxa" w:w="90"/>
              <w:left w:type="dxa" w:w="110"/>
              <w:bottom w:type="dxa" w:w="90"/>
              <w:right w:type="dxa" w:w="110"/>
            </w:tcMar>
          </w:tcPr>
          <w:p>
            <w:pPr>
              <w:jc w:val="center"/>
            </w:pPr>
            <w:r>
              <w:rPr>
                <w:rFonts w:ascii="Calibri" w:cs="Calibri" w:eastAsia="Calibri" w:hAnsi="Calibri"/>
                <w:b/>
                <w:bCs/>
                <w:color w:val="FFFFFF"/>
                <w:sz w:val="19"/>
                <w:szCs w:val="19"/>
              </w:rPr>
              <w:t xml:space="preserve">Likelihood</w:t>
            </w:r>
          </w:p>
        </w:tc>
        <w:tc>
          <w:tcPr>
            <w:tcW w:type="dxa" w:w="1100"/>
            <w:tcBorders>
              <w:top w:val="single" w:color="BFBFBF" w:sz="4"/>
              <w:left w:val="single" w:color="BFBFBF" w:sz="4"/>
              <w:bottom w:val="single" w:color="BFBFBF" w:sz="4"/>
              <w:right w:val="single" w:color="BFBFBF" w:sz="4"/>
            </w:tcBorders>
            <w:shd w:fill="1F4E79" w:color="auto" w:val="clear"/>
            <w:tcMar>
              <w:top w:type="dxa" w:w="90"/>
              <w:left w:type="dxa" w:w="110"/>
              <w:bottom w:type="dxa" w:w="90"/>
              <w:right w:type="dxa" w:w="110"/>
            </w:tcMar>
          </w:tcPr>
          <w:p>
            <w:pPr>
              <w:jc w:val="center"/>
            </w:pPr>
            <w:r>
              <w:rPr>
                <w:rFonts w:ascii="Calibri" w:cs="Calibri" w:eastAsia="Calibri" w:hAnsi="Calibri"/>
                <w:b/>
                <w:bCs/>
                <w:color w:val="FFFFFF"/>
                <w:sz w:val="19"/>
                <w:szCs w:val="19"/>
              </w:rPr>
              <w:t xml:space="preserve">Severity</w:t>
            </w:r>
          </w:p>
        </w:tc>
        <w:tc>
          <w:tcPr>
            <w:tcW w:type="dxa" w:w="1300"/>
            <w:tcBorders>
              <w:top w:val="single" w:color="BFBFBF" w:sz="4"/>
              <w:left w:val="single" w:color="BFBFBF" w:sz="4"/>
              <w:bottom w:val="single" w:color="BFBFBF" w:sz="4"/>
              <w:right w:val="single" w:color="BFBFBF" w:sz="4"/>
            </w:tcBorders>
            <w:shd w:fill="1F4E79" w:color="auto" w:val="clear"/>
            <w:tcMar>
              <w:top w:type="dxa" w:w="90"/>
              <w:left w:type="dxa" w:w="110"/>
              <w:bottom w:type="dxa" w:w="90"/>
              <w:right w:type="dxa" w:w="110"/>
            </w:tcMar>
          </w:tcPr>
          <w:p>
            <w:pPr>
              <w:jc w:val="center"/>
            </w:pPr>
            <w:r>
              <w:rPr>
                <w:rFonts w:ascii="Calibri" w:cs="Calibri" w:eastAsia="Calibri" w:hAnsi="Calibri"/>
                <w:b/>
                <w:bCs/>
                <w:color w:val="FFFFFF"/>
                <w:sz w:val="19"/>
                <w:szCs w:val="19"/>
              </w:rPr>
              <w:t xml:space="preserve">Priority</w:t>
            </w:r>
          </w:p>
        </w:tc>
      </w:tr>
      <w:tr>
        <w:tc>
          <w:tcPr>
            <w:tcW w:type="dxa" w:w="1000"/>
            <w:vMerge w:val="restart"/>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jc w:val="center"/>
            </w:pPr>
            <w:r>
              <w:rPr>
                <w:rFonts w:ascii="Calibri" w:cs="Calibri" w:eastAsia="Calibri" w:hAnsi="Calibri"/>
                <w:b w:val="false"/>
                <w:bCs w:val="false"/>
                <w:sz w:val="19"/>
                <w:szCs w:val="19"/>
              </w:rPr>
              <w:t xml:space="preserve">Funds</w:t>
            </w:r>
          </w:p>
        </w:tc>
        <w:tc>
          <w:tcPr>
            <w:tcW w:type="dxa" w:w="175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jc w:val="left"/>
            </w:pPr>
            <w:r>
              <w:rPr>
                <w:rFonts w:ascii="Calibri" w:cs="Calibri" w:eastAsia="Calibri" w:hAnsi="Calibri"/>
                <w:b w:val="false"/>
                <w:bCs w:val="false"/>
                <w:sz w:val="19"/>
                <w:szCs w:val="19"/>
              </w:rPr>
              <w:t xml:space="preserve">Business email compromise</w:t>
            </w:r>
          </w:p>
        </w:tc>
        <w:tc>
          <w:tcPr>
            <w:tcW w:type="dxa" w:w="306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jc w:val="left"/>
            </w:pPr>
            <w:r>
              <w:rPr>
                <w:rFonts w:ascii="Calibri" w:cs="Calibri" w:eastAsia="Calibri" w:hAnsi="Calibri"/>
                <w:b w:val="false"/>
                <w:bCs w:val="false"/>
                <w:sz w:val="19"/>
                <w:szCs w:val="19"/>
              </w:rPr>
              <w:t xml:space="preserve">An employee is tricked into sharing confidential information.</w:t>
            </w:r>
          </w:p>
        </w:tc>
        <w:tc>
          <w:tcPr>
            <w:tcW w:type="dxa" w:w="115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jc w:val="center"/>
            </w:pPr>
            <w:r>
              <w:rPr>
                <w:rFonts w:ascii="Calibri" w:cs="Calibri" w:eastAsia="Calibri" w:hAnsi="Calibri"/>
                <w:b w:val="false"/>
                <w:bCs w:val="false"/>
                <w:sz w:val="19"/>
                <w:szCs w:val="19"/>
              </w:rPr>
              <w:t xml:space="preserve">3</w:t>
            </w:r>
          </w:p>
        </w:tc>
        <w:tc>
          <w:tcPr>
            <w:tcW w:type="dxa" w:w="110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jc w:val="center"/>
            </w:pPr>
            <w:r>
              <w:rPr>
                <w:rFonts w:ascii="Calibri" w:cs="Calibri" w:eastAsia="Calibri" w:hAnsi="Calibri"/>
                <w:b w:val="false"/>
                <w:bCs w:val="false"/>
                <w:sz w:val="19"/>
                <w:szCs w:val="19"/>
              </w:rPr>
              <w:t xml:space="preserve">2</w:t>
            </w:r>
          </w:p>
        </w:tc>
        <w:tc>
          <w:tcPr>
            <w:tcW w:type="dxa" w:w="1300"/>
            <w:tcBorders>
              <w:top w:val="single" w:color="BFBFBF" w:sz="4"/>
              <w:left w:val="single" w:color="BFBFBF" w:sz="4"/>
              <w:bottom w:val="single" w:color="BFBFBF" w:sz="4"/>
              <w:right w:val="single" w:color="BFBFBF" w:sz="4"/>
            </w:tcBorders>
            <w:shd w:fill="FAD5B1" w:color="auto" w:val="clear"/>
            <w:tcMar>
              <w:top w:type="dxa" w:w="90"/>
              <w:left w:type="dxa" w:w="110"/>
              <w:bottom w:type="dxa" w:w="90"/>
              <w:right w:type="dxa" w:w="110"/>
            </w:tcMar>
            <w:vAlign w:val="center"/>
          </w:tcPr>
          <w:p>
            <w:pPr>
              <w:jc w:val="center"/>
            </w:pPr>
            <w:r>
              <w:rPr>
                <w:rFonts w:ascii="Calibri" w:cs="Calibri" w:eastAsia="Calibri" w:hAnsi="Calibri"/>
                <w:b/>
                <w:bCs/>
                <w:sz w:val="19"/>
                <w:szCs w:val="19"/>
              </w:rPr>
              <w:t xml:space="preserve">6</w:t>
            </w:r>
          </w:p>
        </w:tc>
      </w:tr>
      <w:tr>
        <w:tc>
          <w:tcPr>
            <w:tcW w:type="dxa" w:w="1000"/>
            <w:vMerge w:val="continue"/>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jc w:val="center"/>
            </w:pPr>
            <w:r>
              <w:rPr>
                <w:rFonts w:ascii="Calibri" w:cs="Calibri" w:eastAsia="Calibri" w:hAnsi="Calibri"/>
                <w:b w:val="false"/>
                <w:bCs w:val="false"/>
                <w:sz w:val="19"/>
                <w:szCs w:val="19"/>
              </w:rPr>
              <w:t xml:space="preserve"/>
            </w:r>
          </w:p>
        </w:tc>
        <w:tc>
          <w:tcPr>
            <w:tcW w:type="dxa" w:w="175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jc w:val="left"/>
            </w:pPr>
            <w:r>
              <w:rPr>
                <w:rFonts w:ascii="Calibri" w:cs="Calibri" w:eastAsia="Calibri" w:hAnsi="Calibri"/>
                <w:b w:val="false"/>
                <w:bCs w:val="false"/>
                <w:sz w:val="19"/>
                <w:szCs w:val="19"/>
              </w:rPr>
              <w:t xml:space="preserve">Compromised user database</w:t>
            </w:r>
          </w:p>
        </w:tc>
        <w:tc>
          <w:tcPr>
            <w:tcW w:type="dxa" w:w="306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jc w:val="left"/>
            </w:pPr>
            <w:r>
              <w:rPr>
                <w:rFonts w:ascii="Calibri" w:cs="Calibri" w:eastAsia="Calibri" w:hAnsi="Calibri"/>
                <w:b w:val="false"/>
                <w:bCs w:val="false"/>
                <w:sz w:val="19"/>
                <w:szCs w:val="19"/>
              </w:rPr>
              <w:t xml:space="preserve">Customer data is poorly encrypted.</w:t>
            </w:r>
          </w:p>
        </w:tc>
        <w:tc>
          <w:tcPr>
            <w:tcW w:type="dxa" w:w="115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jc w:val="center"/>
            </w:pPr>
            <w:r>
              <w:rPr>
                <w:rFonts w:ascii="Calibri" w:cs="Calibri" w:eastAsia="Calibri" w:hAnsi="Calibri"/>
                <w:b w:val="false"/>
                <w:bCs w:val="false"/>
                <w:sz w:val="19"/>
                <w:szCs w:val="19"/>
              </w:rPr>
              <w:t xml:space="preserve">2</w:t>
            </w:r>
          </w:p>
        </w:tc>
        <w:tc>
          <w:tcPr>
            <w:tcW w:type="dxa" w:w="110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jc w:val="center"/>
            </w:pPr>
            <w:r>
              <w:rPr>
                <w:rFonts w:ascii="Calibri" w:cs="Calibri" w:eastAsia="Calibri" w:hAnsi="Calibri"/>
                <w:b w:val="false"/>
                <w:bCs w:val="false"/>
                <w:sz w:val="19"/>
                <w:szCs w:val="19"/>
              </w:rPr>
              <w:t xml:space="preserve">3</w:t>
            </w:r>
          </w:p>
        </w:tc>
        <w:tc>
          <w:tcPr>
            <w:tcW w:type="dxa" w:w="1300"/>
            <w:tcBorders>
              <w:top w:val="single" w:color="BFBFBF" w:sz="4"/>
              <w:left w:val="single" w:color="BFBFBF" w:sz="4"/>
              <w:bottom w:val="single" w:color="BFBFBF" w:sz="4"/>
              <w:right w:val="single" w:color="BFBFBF" w:sz="4"/>
            </w:tcBorders>
            <w:shd w:fill="FAD5B1" w:color="auto" w:val="clear"/>
            <w:tcMar>
              <w:top w:type="dxa" w:w="90"/>
              <w:left w:type="dxa" w:w="110"/>
              <w:bottom w:type="dxa" w:w="90"/>
              <w:right w:type="dxa" w:w="110"/>
            </w:tcMar>
            <w:vAlign w:val="center"/>
          </w:tcPr>
          <w:p>
            <w:pPr>
              <w:jc w:val="center"/>
            </w:pPr>
            <w:r>
              <w:rPr>
                <w:rFonts w:ascii="Calibri" w:cs="Calibri" w:eastAsia="Calibri" w:hAnsi="Calibri"/>
                <w:b/>
                <w:bCs/>
                <w:sz w:val="19"/>
                <w:szCs w:val="19"/>
              </w:rPr>
              <w:t xml:space="preserve">6</w:t>
            </w:r>
          </w:p>
        </w:tc>
      </w:tr>
      <w:tr>
        <w:tc>
          <w:tcPr>
            <w:tcW w:type="dxa" w:w="1000"/>
            <w:vMerge w:val="continue"/>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jc w:val="center"/>
            </w:pPr>
            <w:r>
              <w:rPr>
                <w:rFonts w:ascii="Calibri" w:cs="Calibri" w:eastAsia="Calibri" w:hAnsi="Calibri"/>
                <w:b w:val="false"/>
                <w:bCs w:val="false"/>
                <w:sz w:val="19"/>
                <w:szCs w:val="19"/>
              </w:rPr>
              <w:t xml:space="preserve"/>
            </w:r>
          </w:p>
        </w:tc>
        <w:tc>
          <w:tcPr>
            <w:tcW w:type="dxa" w:w="175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jc w:val="left"/>
            </w:pPr>
            <w:r>
              <w:rPr>
                <w:rFonts w:ascii="Calibri" w:cs="Calibri" w:eastAsia="Calibri" w:hAnsi="Calibri"/>
                <w:b w:val="false"/>
                <w:bCs w:val="false"/>
                <w:sz w:val="19"/>
                <w:szCs w:val="19"/>
              </w:rPr>
              <w:t xml:space="preserve">Financial records leak</w:t>
            </w:r>
          </w:p>
        </w:tc>
        <w:tc>
          <w:tcPr>
            <w:tcW w:type="dxa" w:w="306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jc w:val="left"/>
            </w:pPr>
            <w:r>
              <w:rPr>
                <w:rFonts w:ascii="Calibri" w:cs="Calibri" w:eastAsia="Calibri" w:hAnsi="Calibri"/>
                <w:b w:val="false"/>
                <w:bCs w:val="false"/>
                <w:sz w:val="19"/>
                <w:szCs w:val="19"/>
              </w:rPr>
              <w:t xml:space="preserve">A database server of backed up data is publicly accessible.</w:t>
            </w:r>
          </w:p>
        </w:tc>
        <w:tc>
          <w:tcPr>
            <w:tcW w:type="dxa" w:w="115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jc w:val="center"/>
            </w:pPr>
            <w:r>
              <w:rPr>
                <w:rFonts w:ascii="Calibri" w:cs="Calibri" w:eastAsia="Calibri" w:hAnsi="Calibri"/>
                <w:b w:val="false"/>
                <w:bCs w:val="false"/>
                <w:sz w:val="19"/>
                <w:szCs w:val="19"/>
              </w:rPr>
              <w:t xml:space="preserve">3</w:t>
            </w:r>
          </w:p>
        </w:tc>
        <w:tc>
          <w:tcPr>
            <w:tcW w:type="dxa" w:w="110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jc w:val="center"/>
            </w:pPr>
            <w:r>
              <w:rPr>
                <w:rFonts w:ascii="Calibri" w:cs="Calibri" w:eastAsia="Calibri" w:hAnsi="Calibri"/>
                <w:b w:val="false"/>
                <w:bCs w:val="false"/>
                <w:sz w:val="19"/>
                <w:szCs w:val="19"/>
              </w:rPr>
              <w:t xml:space="preserve">3</w:t>
            </w:r>
          </w:p>
        </w:tc>
        <w:tc>
          <w:tcPr>
            <w:tcW w:type="dxa" w:w="1300"/>
            <w:tcBorders>
              <w:top w:val="single" w:color="BFBFBF" w:sz="4"/>
              <w:left w:val="single" w:color="BFBFBF" w:sz="4"/>
              <w:bottom w:val="single" w:color="BFBFBF" w:sz="4"/>
              <w:right w:val="single" w:color="BFBFBF" w:sz="4"/>
            </w:tcBorders>
            <w:shd w:fill="F4B9B9" w:color="auto" w:val="clear"/>
            <w:tcMar>
              <w:top w:type="dxa" w:w="90"/>
              <w:left w:type="dxa" w:w="110"/>
              <w:bottom w:type="dxa" w:w="90"/>
              <w:right w:type="dxa" w:w="110"/>
            </w:tcMar>
            <w:vAlign w:val="center"/>
          </w:tcPr>
          <w:p>
            <w:pPr>
              <w:jc w:val="center"/>
            </w:pPr>
            <w:r>
              <w:rPr>
                <w:rFonts w:ascii="Calibri" w:cs="Calibri" w:eastAsia="Calibri" w:hAnsi="Calibri"/>
                <w:b/>
                <w:bCs/>
                <w:sz w:val="19"/>
                <w:szCs w:val="19"/>
              </w:rPr>
              <w:t xml:space="preserve">9</w:t>
            </w:r>
          </w:p>
        </w:tc>
      </w:tr>
      <w:tr>
        <w:tc>
          <w:tcPr>
            <w:tcW w:type="dxa" w:w="1000"/>
            <w:vMerge w:val="continue"/>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jc w:val="center"/>
            </w:pPr>
            <w:r>
              <w:rPr>
                <w:rFonts w:ascii="Calibri" w:cs="Calibri" w:eastAsia="Calibri" w:hAnsi="Calibri"/>
                <w:b w:val="false"/>
                <w:bCs w:val="false"/>
                <w:sz w:val="19"/>
                <w:szCs w:val="19"/>
              </w:rPr>
              <w:t xml:space="preserve"/>
            </w:r>
          </w:p>
        </w:tc>
        <w:tc>
          <w:tcPr>
            <w:tcW w:type="dxa" w:w="175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jc w:val="left"/>
            </w:pPr>
            <w:r>
              <w:rPr>
                <w:rFonts w:ascii="Calibri" w:cs="Calibri" w:eastAsia="Calibri" w:hAnsi="Calibri"/>
                <w:b w:val="false"/>
                <w:bCs w:val="false"/>
                <w:sz w:val="19"/>
                <w:szCs w:val="19"/>
              </w:rPr>
              <w:t xml:space="preserve">Theft</w:t>
            </w:r>
          </w:p>
        </w:tc>
        <w:tc>
          <w:tcPr>
            <w:tcW w:type="dxa" w:w="306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jc w:val="left"/>
            </w:pPr>
            <w:r>
              <w:rPr>
                <w:rFonts w:ascii="Calibri" w:cs="Calibri" w:eastAsia="Calibri" w:hAnsi="Calibri"/>
                <w:b w:val="false"/>
                <w:bCs w:val="false"/>
                <w:sz w:val="19"/>
                <w:szCs w:val="19"/>
              </w:rPr>
              <w:t xml:space="preserve">The bank's safe is left unlocked.</w:t>
            </w:r>
          </w:p>
        </w:tc>
        <w:tc>
          <w:tcPr>
            <w:tcW w:type="dxa" w:w="115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jc w:val="center"/>
            </w:pPr>
            <w:r>
              <w:rPr>
                <w:rFonts w:ascii="Calibri" w:cs="Calibri" w:eastAsia="Calibri" w:hAnsi="Calibri"/>
                <w:b w:val="false"/>
                <w:bCs w:val="false"/>
                <w:sz w:val="19"/>
                <w:szCs w:val="19"/>
              </w:rPr>
              <w:t xml:space="preserve">1</w:t>
            </w:r>
          </w:p>
        </w:tc>
        <w:tc>
          <w:tcPr>
            <w:tcW w:type="dxa" w:w="110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jc w:val="center"/>
            </w:pPr>
            <w:r>
              <w:rPr>
                <w:rFonts w:ascii="Calibri" w:cs="Calibri" w:eastAsia="Calibri" w:hAnsi="Calibri"/>
                <w:b w:val="false"/>
                <w:bCs w:val="false"/>
                <w:sz w:val="19"/>
                <w:szCs w:val="19"/>
              </w:rPr>
              <w:t xml:space="preserve">3</w:t>
            </w:r>
          </w:p>
        </w:tc>
        <w:tc>
          <w:tcPr>
            <w:tcW w:type="dxa" w:w="1300"/>
            <w:tcBorders>
              <w:top w:val="single" w:color="BFBFBF" w:sz="4"/>
              <w:left w:val="single" w:color="BFBFBF" w:sz="4"/>
              <w:bottom w:val="single" w:color="BFBFBF" w:sz="4"/>
              <w:right w:val="single" w:color="BFBFBF" w:sz="4"/>
            </w:tcBorders>
            <w:shd w:fill="FDE9B5" w:color="auto" w:val="clear"/>
            <w:tcMar>
              <w:top w:type="dxa" w:w="90"/>
              <w:left w:type="dxa" w:w="110"/>
              <w:bottom w:type="dxa" w:w="90"/>
              <w:right w:type="dxa" w:w="110"/>
            </w:tcMar>
            <w:vAlign w:val="center"/>
          </w:tcPr>
          <w:p>
            <w:pPr>
              <w:jc w:val="center"/>
            </w:pPr>
            <w:r>
              <w:rPr>
                <w:rFonts w:ascii="Calibri" w:cs="Calibri" w:eastAsia="Calibri" w:hAnsi="Calibri"/>
                <w:b/>
                <w:bCs/>
                <w:sz w:val="19"/>
                <w:szCs w:val="19"/>
              </w:rPr>
              <w:t xml:space="preserve">3</w:t>
            </w:r>
          </w:p>
        </w:tc>
      </w:tr>
      <w:tr>
        <w:tc>
          <w:tcPr>
            <w:tcW w:type="dxa" w:w="1000"/>
            <w:vMerge w:val="continue"/>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jc w:val="center"/>
            </w:pPr>
            <w:r>
              <w:rPr>
                <w:rFonts w:ascii="Calibri" w:cs="Calibri" w:eastAsia="Calibri" w:hAnsi="Calibri"/>
                <w:b w:val="false"/>
                <w:bCs w:val="false"/>
                <w:sz w:val="19"/>
                <w:szCs w:val="19"/>
              </w:rPr>
              <w:t xml:space="preserve"/>
            </w:r>
          </w:p>
        </w:tc>
        <w:tc>
          <w:tcPr>
            <w:tcW w:type="dxa" w:w="175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jc w:val="left"/>
            </w:pPr>
            <w:r>
              <w:rPr>
                <w:rFonts w:ascii="Calibri" w:cs="Calibri" w:eastAsia="Calibri" w:hAnsi="Calibri"/>
                <w:b w:val="false"/>
                <w:bCs w:val="false"/>
                <w:sz w:val="19"/>
                <w:szCs w:val="19"/>
              </w:rPr>
              <w:t xml:space="preserve">Supply chain disruption</w:t>
            </w:r>
          </w:p>
        </w:tc>
        <w:tc>
          <w:tcPr>
            <w:tcW w:type="dxa" w:w="306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jc w:val="left"/>
            </w:pPr>
            <w:r>
              <w:rPr>
                <w:rFonts w:ascii="Calibri" w:cs="Calibri" w:eastAsia="Calibri" w:hAnsi="Calibri"/>
                <w:b w:val="false"/>
                <w:bCs w:val="false"/>
                <w:sz w:val="19"/>
                <w:szCs w:val="19"/>
              </w:rPr>
              <w:t xml:space="preserve">Delivery delays due to natural disasters.</w:t>
            </w:r>
          </w:p>
        </w:tc>
        <w:tc>
          <w:tcPr>
            <w:tcW w:type="dxa" w:w="115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jc w:val="center"/>
            </w:pPr>
            <w:r>
              <w:rPr>
                <w:rFonts w:ascii="Calibri" w:cs="Calibri" w:eastAsia="Calibri" w:hAnsi="Calibri"/>
                <w:b w:val="false"/>
                <w:bCs w:val="false"/>
                <w:sz w:val="19"/>
                <w:szCs w:val="19"/>
              </w:rPr>
              <w:t xml:space="preserve">1</w:t>
            </w:r>
          </w:p>
        </w:tc>
        <w:tc>
          <w:tcPr>
            <w:tcW w:type="dxa" w:w="1100"/>
            <w:tcBorders>
              <w:top w:val="single" w:color="BFBFBF" w:sz="4"/>
              <w:left w:val="single" w:color="BFBFBF" w:sz="4"/>
              <w:bottom w:val="single" w:color="BFBFBF" w:sz="4"/>
              <w:right w:val="single" w:color="BFBFBF" w:sz="4"/>
            </w:tcBorders>
            <w:tcMar>
              <w:top w:type="dxa" w:w="90"/>
              <w:left w:type="dxa" w:w="110"/>
              <w:bottom w:type="dxa" w:w="90"/>
              <w:right w:type="dxa" w:w="110"/>
            </w:tcMar>
            <w:vAlign w:val="center"/>
          </w:tcPr>
          <w:p>
            <w:pPr>
              <w:jc w:val="center"/>
            </w:pPr>
            <w:r>
              <w:rPr>
                <w:rFonts w:ascii="Calibri" w:cs="Calibri" w:eastAsia="Calibri" w:hAnsi="Calibri"/>
                <w:b w:val="false"/>
                <w:bCs w:val="false"/>
                <w:sz w:val="19"/>
                <w:szCs w:val="19"/>
              </w:rPr>
              <w:t xml:space="preserve">2</w:t>
            </w:r>
          </w:p>
        </w:tc>
        <w:tc>
          <w:tcPr>
            <w:tcW w:type="dxa" w:w="1300"/>
            <w:tcBorders>
              <w:top w:val="single" w:color="BFBFBF" w:sz="4"/>
              <w:left w:val="single" w:color="BFBFBF" w:sz="4"/>
              <w:bottom w:val="single" w:color="BFBFBF" w:sz="4"/>
              <w:right w:val="single" w:color="BFBFBF" w:sz="4"/>
            </w:tcBorders>
            <w:shd w:fill="D6E8D5" w:color="auto" w:val="clear"/>
            <w:tcMar>
              <w:top w:type="dxa" w:w="90"/>
              <w:left w:type="dxa" w:w="110"/>
              <w:bottom w:type="dxa" w:w="90"/>
              <w:right w:type="dxa" w:w="110"/>
            </w:tcMar>
            <w:vAlign w:val="center"/>
          </w:tcPr>
          <w:p>
            <w:pPr>
              <w:jc w:val="center"/>
            </w:pPr>
            <w:r>
              <w:rPr>
                <w:rFonts w:ascii="Calibri" w:cs="Calibri" w:eastAsia="Calibri" w:hAnsi="Calibri"/>
                <w:b/>
                <w:bCs/>
                <w:sz w:val="19"/>
                <w:szCs w:val="19"/>
              </w:rPr>
              <w:t xml:space="preserve">2</w:t>
            </w:r>
          </w:p>
        </w:tc>
      </w:tr>
      <w:tr>
        <w:tc>
          <w:tcPr>
            <w:tcW w:type="dxa" w:w="9360"/>
            <w:gridSpan w:val="6"/>
            <w:tcBorders>
              <w:top w:val="single" w:color="BFBFBF" w:sz="4"/>
              <w:left w:val="single" w:color="BFBFBF" w:sz="4"/>
              <w:bottom w:val="single" w:color="BFBFBF" w:sz="4"/>
              <w:right w:val="single" w:color="BFBFBF" w:sz="4"/>
            </w:tcBorders>
            <w:shd w:fill="D9E2F3" w:color="auto" w:val="clear"/>
            <w:tcMar>
              <w:top w:type="dxa" w:w="90"/>
              <w:left w:type="dxa" w:w="110"/>
              <w:bottom w:type="dxa" w:w="90"/>
              <w:right w:type="dxa" w:w="110"/>
            </w:tcMar>
          </w:tcPr>
          <w:p>
            <w:r>
              <w:rPr>
                <w:rFonts w:ascii="Calibri" w:cs="Calibri" w:eastAsia="Calibri" w:hAnsi="Calibri"/>
                <w:b/>
                <w:bCs/>
                <w:sz w:val="19"/>
                <w:szCs w:val="19"/>
              </w:rPr>
              <w:t xml:space="preserve">Notes: How are security events possible considering the risks the asset faces in its operating environment?</w:t>
            </w:r>
          </w:p>
        </w:tc>
      </w:tr>
      <w:tr>
        <w:tc>
          <w:tcPr>
            <w:tcW w:type="dxa" w:w="9360"/>
            <w:gridSpan w:val="6"/>
            <w:tcBorders>
              <w:top w:val="single" w:color="BFBFBF" w:sz="4"/>
              <w:left w:val="single" w:color="BFBFBF" w:sz="4"/>
              <w:bottom w:val="single" w:color="BFBFBF" w:sz="4"/>
              <w:right w:val="single" w:color="BFBFBF" w:sz="4"/>
            </w:tcBorders>
            <w:tcMar>
              <w:top w:type="dxa" w:w="90"/>
              <w:left w:type="dxa" w:w="110"/>
              <w:bottom w:type="dxa" w:w="90"/>
              <w:right w:type="dxa" w:w="110"/>
            </w:tcMar>
          </w:tcPr>
          <w:p>
            <w:pPr>
              <w:spacing w:line="288"/>
            </w:pPr>
            <w:r>
              <w:rPr>
                <w:rFonts w:ascii="Calibri" w:cs="Calibri" w:eastAsia="Calibri" w:hAnsi="Calibri"/>
                <w:sz w:val="19"/>
                <w:szCs w:val="19"/>
              </w:rPr>
              <w:t xml:space="preserve">Security events are possible because the bank's funds are exposed through both its people and its systems. With 120 employees handling data, business email compromise remains highly likely, and a publicly accessible backup server can be reached with no effort at all. Customer data is encrypted, but poorly, so it could still be broken with moderate effort. Strict financial regulations mean any of these events would carry heavy fines alongside the loss of funds, customers, and reputation. The bank's low-crime coastal location makes theft unlikely, and hurricanes are infrequent, though both would still directly threaten the bank's ability to meet its daily Federal Reserve cash requirements.</w:t>
            </w:r>
          </w:p>
        </w:tc>
      </w:tr>
    </w:tbl>
    <w:p>
      <w:pPr>
        <w:spacing w:after="120" w:before="280"/>
      </w:pPr>
      <w:r>
        <w:rPr>
          <w:rFonts w:ascii="Calibri" w:cs="Calibri" w:eastAsia="Calibri" w:hAnsi="Calibri"/>
          <w:b/>
          <w:bCs/>
          <w:color w:val="1F4E79"/>
          <w:sz w:val="25"/>
          <w:szCs w:val="25"/>
        </w:rPr>
        <w:t xml:space="preserve">Prioritisation</w:t>
      </w:r>
    </w:p>
    <w:p>
      <w:pPr>
        <w:spacing w:after="160" w:before="0" w:line="300"/>
      </w:pPr>
      <w:r>
        <w:rPr>
          <w:rFonts w:ascii="Calibri" w:cs="Calibri" w:eastAsia="Calibri" w:hAnsi="Calibri"/>
          <w:i w:val="false"/>
          <w:iCs w:val="false"/>
          <w:sz w:val="21"/>
          <w:szCs w:val="21"/>
        </w:rPr>
        <w:t xml:space="preserve">The financial records leak scores 9 and is the highest priority. The backup database server is publicly accessible, so the vulnerability requires no effort to exploit, and a leak of financial records would bring heavy regulatory fines alongside the loss of customers and profits. Business email compromise follows at 6, driven by the large human attack surface of 120 employees, any one of whom could be tricked into sharing confidential information. The compromised user database also scores 6: its impact would be catastrophic across 2,200 accounts, but the data is at least encrypted, so exploitation takes moderate effort rather than none. Theft (3) and supply chain disruption (2) are the lowest priorities, since the bank's low-crime location and the infrequency of hurricanes make both unlikely, even though each would still directly threaten the funds the bank must hold to meet Federal Reserve requirements.</w:t>
      </w:r>
    </w:p>
    <w:sectPr>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2026-07-12T17:43:39.012Z</dcterms:created>
  <dcterms:modified xsi:type="dcterms:W3CDTF">2026-07-12T17:43:39.025Z</dcterms:modified>
</cp:coreProperties>
</file>

<file path=docProps/custom.xml><?xml version="1.0" encoding="utf-8"?>
<Properties xmlns="http://schemas.openxmlformats.org/officeDocument/2006/custom-properties" xmlns:vt="http://schemas.openxmlformats.org/officeDocument/2006/docPropsVTypes"/>
</file>