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0BCC" w14:textId="77777777" w:rsidR="002C0F20" w:rsidRPr="002C0F20" w:rsidRDefault="002C0F20" w:rsidP="002C0F20">
      <w:pPr>
        <w:rPr>
          <w:b/>
          <w:bCs/>
        </w:rPr>
      </w:pPr>
      <w:r w:rsidRPr="002C0F20">
        <w:rPr>
          <w:b/>
          <w:bCs/>
        </w:rPr>
        <w:t>Interpretation of Outputs</w:t>
      </w:r>
    </w:p>
    <w:p w14:paraId="517A6EC5" w14:textId="77777777" w:rsidR="002C0F20" w:rsidRPr="002C0F20" w:rsidRDefault="002C0F20" w:rsidP="002C0F20">
      <w:pPr>
        <w:rPr>
          <w:b/>
          <w:bCs/>
        </w:rPr>
      </w:pPr>
      <w:r w:rsidRPr="002C0F20">
        <w:rPr>
          <w:b/>
          <w:bCs/>
        </w:rPr>
        <w:t>Little’s MCAR Test</w:t>
      </w:r>
    </w:p>
    <w:p w14:paraId="60F8575A" w14:textId="77777777" w:rsidR="002C0F20" w:rsidRPr="002C0F20" w:rsidRDefault="002C0F20" w:rsidP="002C0F20">
      <w:r w:rsidRPr="002C0F20">
        <w:t>Little’s MCAR test was applied to determine the mechanism driving missingness in the dataset. The resulting p</w:t>
      </w:r>
      <w:r w:rsidRPr="002C0F20">
        <w:noBreakHyphen/>
        <w:t xml:space="preserve">value of 0.000 falls well below the standard 0.05 threshold, leading to rejection of the null hypothesis that the data are Missing Completely at Random (MCAR). This outcome provides strong evidence that the missingness is systematic rather than purely random, implying that it may depend on observed or unobserved characteristics—consistent with Missing at Random (MAR) or Missing Not at Random (MNAR) mechanisms. This finding carries important methodological implications: relying on simple deletion methods could introduce bias and reduce statistical validity. Therefore, more sophisticated approaches, such as multiple </w:t>
      </w:r>
      <w:proofErr w:type="gramStart"/>
      <w:r w:rsidRPr="002C0F20">
        <w:t>imputation</w:t>
      </w:r>
      <w:proofErr w:type="gramEnd"/>
      <w:r w:rsidRPr="002C0F20">
        <w:t xml:space="preserve"> via chained equations, are necessary to obtain reliable and unbiased estimates.</w:t>
      </w:r>
    </w:p>
    <w:p w14:paraId="323C0517" w14:textId="77777777" w:rsidR="002C0F20" w:rsidRPr="002C0F20" w:rsidRDefault="002C0F20" w:rsidP="002C0F20">
      <w:pPr>
        <w:rPr>
          <w:b/>
          <w:bCs/>
        </w:rPr>
      </w:pPr>
      <w:r w:rsidRPr="002C0F20">
        <w:rPr>
          <w:b/>
          <w:bCs/>
        </w:rPr>
        <w:t>Missing</w:t>
      </w:r>
      <w:r w:rsidRPr="002C0F20">
        <w:rPr>
          <w:b/>
          <w:bCs/>
        </w:rPr>
        <w:noBreakHyphen/>
        <w:t>Data Pattern Visualization</w:t>
      </w:r>
    </w:p>
    <w:p w14:paraId="439C24B0" w14:textId="77777777" w:rsidR="002C0F20" w:rsidRPr="002C0F20" w:rsidRDefault="002C0F20" w:rsidP="002C0F20">
      <w:r w:rsidRPr="002C0F20">
        <w:t>The missing</w:t>
      </w:r>
      <w:r w:rsidRPr="002C0F20">
        <w:noBreakHyphen/>
        <w:t>data pattern plot shows that missingness is unevenly distributed across variables, with several hormone and lipid measures exhibiting notably higher levels of incompleteness. This structured pattern suggests that missingness is influenced by underlying factors rather than occurring randomly, reinforcing the need for formal diagnostic tests such as Little’s MCAR test. The clustering of missing values in specific variables may reflect measurement challenges, selective reporting, or participant</w:t>
      </w:r>
      <w:r w:rsidRPr="002C0F20">
        <w:noBreakHyphen/>
        <w:t xml:space="preserve">level differences. Statistically, this pattern highlights the importance of using robust imputation strategies, as relying on listwise deletion would substantially reduce sample size and introduce bias. Overall, </w:t>
      </w:r>
      <w:proofErr w:type="gramStart"/>
      <w:r w:rsidRPr="002C0F20">
        <w:t>the visualization</w:t>
      </w:r>
      <w:proofErr w:type="gramEnd"/>
      <w:r w:rsidRPr="002C0F20">
        <w:t xml:space="preserve"> underscores the need for careful handling of missing data to maintain the integrity and generalizability of subsequent analyses.</w:t>
      </w:r>
    </w:p>
    <w:p w14:paraId="58384BE7" w14:textId="77777777" w:rsidR="002C0F20" w:rsidRPr="002C0F20" w:rsidRDefault="002C0F20" w:rsidP="002C0F20">
      <w:pPr>
        <w:rPr>
          <w:b/>
          <w:bCs/>
        </w:rPr>
      </w:pPr>
      <w:r w:rsidRPr="002C0F20">
        <w:rPr>
          <w:b/>
          <w:bCs/>
        </w:rPr>
        <w:t>Density Plot Interpretation</w:t>
      </w:r>
    </w:p>
    <w:p w14:paraId="02C4C034" w14:textId="77777777" w:rsidR="002C0F20" w:rsidRPr="002C0F20" w:rsidRDefault="002C0F20" w:rsidP="002C0F20">
      <w:r w:rsidRPr="002C0F20">
        <w:t xml:space="preserve">The density comparison between the original and imputed values of </w:t>
      </w:r>
      <w:r w:rsidRPr="002C0F20">
        <w:rPr>
          <w:i/>
          <w:iCs/>
        </w:rPr>
        <w:t>hormone10_generated</w:t>
      </w:r>
      <w:r w:rsidRPr="002C0F20">
        <w:t xml:space="preserve"> demonstrates strong alignment between the two distributions. Both curves share similar shapes, central tendencies, and variability, indicating that Predictive Mean Matching (PMM) effectively preserved the original distributional structure during imputation. This close correspondence suggests that the imputed values are realistic substitutes for the missing data and that the imputation process did not distort the underlying statistical properties of the variable. Consequently, the completed dataset can be considered reliable for downstream analyses, as the imputation method did not introduce systematic bias or artificial shifts in the distribution.</w:t>
      </w:r>
    </w:p>
    <w:p w14:paraId="510E31DA" w14:textId="77777777" w:rsidR="002C0F20" w:rsidRPr="002C0F20" w:rsidRDefault="002C0F20" w:rsidP="002C0F20">
      <w:pPr>
        <w:rPr>
          <w:b/>
          <w:bCs/>
        </w:rPr>
      </w:pPr>
      <w:r w:rsidRPr="002C0F20">
        <w:rPr>
          <w:b/>
          <w:bCs/>
        </w:rPr>
        <w:t>Outlier Direction Graph Interpretation</w:t>
      </w:r>
    </w:p>
    <w:p w14:paraId="289B636C" w14:textId="77777777" w:rsidR="002C0F20" w:rsidRPr="002C0F20" w:rsidRDefault="002C0F20" w:rsidP="002C0F20">
      <w:r w:rsidRPr="002C0F20">
        <w:lastRenderedPageBreak/>
        <w:t>The bar chart summarizing outlier direction across the lipid variables provides insight into their distributional behavior and data quality. Most observations for lipids1 through lipids4 fall within the expected interquartile</w:t>
      </w:r>
      <w:r w:rsidRPr="002C0F20">
        <w:noBreakHyphen/>
        <w:t>range boundaries, indicating stable and well</w:t>
      </w:r>
      <w:r w:rsidRPr="002C0F20">
        <w:noBreakHyphen/>
        <w:t>behaved distributions. The small number of upper outliers observed across these variables likely reflects natural biological variation rather than measurement error. Lipids5, however, shows a higher proportion of missing values, suggesting potential measurement difficulties or incomplete data capture for this biomarker. Overall, the pattern indicates that the lipid variables are largely free from extreme distortions, making them suitable for further statistical modeling. Nonetheless, the elevated missingness in lipids5 warrants careful treatment—such as imputation or sensitivity checks—to avoid biased conclusions.</w:t>
      </w:r>
    </w:p>
    <w:p w14:paraId="6C41EDF0" w14:textId="77777777" w:rsidR="002C0F20" w:rsidRPr="002C0F20" w:rsidRDefault="002C0F20" w:rsidP="002C0F20">
      <w:pPr>
        <w:rPr>
          <w:b/>
          <w:bCs/>
        </w:rPr>
      </w:pPr>
      <w:r w:rsidRPr="002C0F20">
        <w:rPr>
          <w:b/>
          <w:bCs/>
        </w:rPr>
        <w:t>Boxplots for All Numeric Variables</w:t>
      </w:r>
    </w:p>
    <w:p w14:paraId="385209DF" w14:textId="77777777" w:rsidR="002C0F20" w:rsidRPr="002C0F20" w:rsidRDefault="002C0F20" w:rsidP="002C0F20">
      <w:r w:rsidRPr="002C0F20">
        <w:t>The full set of boxplots provides a broad overview of the distributional characteristics of all numeric variables after imputation. The plots reveal substantial variation in scale and spread across biochemical and hormonal markers, reflecting the diverse biological processes they represent. Some variables show compact, symmetric distributions with well</w:t>
      </w:r>
      <w:r w:rsidRPr="002C0F20">
        <w:noBreakHyphen/>
        <w:t xml:space="preserve">defined interquartile ranges, while others display longer whiskers or isolated points, indicating mild to moderate outliers. These outliers are not uniformly distributed, suggesting that certain biomarkers—particularly lipid peroxidation and antioxidant measures—may be more sensitive to physiological extremes or </w:t>
      </w:r>
      <w:proofErr w:type="gramStart"/>
      <w:r w:rsidRPr="002C0F20">
        <w:t>measurement noise</w:t>
      </w:r>
      <w:proofErr w:type="gramEnd"/>
      <w:r w:rsidRPr="002C0F20">
        <w:t>. Importantly, the absence of extreme or irregular outliers suggests that the imputation process maintained the natural structure of the data. Collectively, the boxplots highlight the multidimensional variability in the dataset and emphasize the need for appropriate scaling or transformation in multivariate analyses.</w:t>
      </w:r>
    </w:p>
    <w:p w14:paraId="3E518940" w14:textId="77777777" w:rsidR="002C0F20" w:rsidRPr="002C0F20" w:rsidRDefault="002C0F20" w:rsidP="002C0F20">
      <w:pPr>
        <w:rPr>
          <w:b/>
          <w:bCs/>
        </w:rPr>
      </w:pPr>
      <w:r w:rsidRPr="002C0F20">
        <w:rPr>
          <w:b/>
          <w:bCs/>
        </w:rPr>
        <w:t>Lipid Boxplots Interpretation</w:t>
      </w:r>
    </w:p>
    <w:p w14:paraId="590B42E7" w14:textId="77777777" w:rsidR="002C0F20" w:rsidRPr="002C0F20" w:rsidRDefault="002C0F20" w:rsidP="002C0F20">
      <w:r w:rsidRPr="002C0F20">
        <w:t xml:space="preserve">The boxplots for the lipid variables offer a focused view of their distributional properties. Lipids1, lipids3, and lipids5 exhibit relatively narrow interquartile ranges, indicating lower variability and more consistent measurements across participants. In contrast, lipids2 and lipids4 show wider spreads and longer whiskers, pointing to greater variability and potentially more heterogeneous physiological responses. The presence of </w:t>
      </w:r>
      <w:proofErr w:type="gramStart"/>
      <w:r w:rsidRPr="002C0F20">
        <w:t>outliers—</w:t>
      </w:r>
      <w:proofErr w:type="gramEnd"/>
      <w:r w:rsidRPr="002C0F20">
        <w:t xml:space="preserve">particularly in lipids2 and </w:t>
      </w:r>
      <w:proofErr w:type="gramStart"/>
      <w:r w:rsidRPr="002C0F20">
        <w:t>lipids4—likely</w:t>
      </w:r>
      <w:proofErr w:type="gramEnd"/>
      <w:r w:rsidRPr="002C0F20">
        <w:t xml:space="preserve"> </w:t>
      </w:r>
      <w:proofErr w:type="gramStart"/>
      <w:r w:rsidRPr="002C0F20">
        <w:t>reflects</w:t>
      </w:r>
      <w:proofErr w:type="gramEnd"/>
      <w:r w:rsidRPr="002C0F20">
        <w:t xml:space="preserve"> biologically elevated lipid levels rather than data anomalies. The overall symmetry of the distributions and the absence of extreme skewness suggest that the imputation process preserved the natural variability of these biomarkers. These patterns highlight meaningful differences among lipid variables and underscore the importance of accounting for scale differences and potential outliers in subsequent statistical modeling.</w:t>
      </w:r>
    </w:p>
    <w:p w14:paraId="6DE7B542" w14:textId="77777777" w:rsidR="002C0F20" w:rsidRDefault="002C0F20"/>
    <w:sectPr w:rsidR="002C0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20"/>
    <w:rsid w:val="002C0F20"/>
    <w:rsid w:val="006A1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B5AC"/>
  <w15:chartTrackingRefBased/>
  <w15:docId w15:val="{D1C4FBBB-511E-46A8-9AD2-80F38FA7D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F20"/>
    <w:rPr>
      <w:rFonts w:eastAsiaTheme="majorEastAsia" w:cstheme="majorBidi"/>
      <w:color w:val="272727" w:themeColor="text1" w:themeTint="D8"/>
    </w:rPr>
  </w:style>
  <w:style w:type="paragraph" w:styleId="Title">
    <w:name w:val="Title"/>
    <w:basedOn w:val="Normal"/>
    <w:next w:val="Normal"/>
    <w:link w:val="TitleChar"/>
    <w:uiPriority w:val="10"/>
    <w:qFormat/>
    <w:rsid w:val="002C0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F20"/>
    <w:pPr>
      <w:spacing w:before="160"/>
      <w:jc w:val="center"/>
    </w:pPr>
    <w:rPr>
      <w:i/>
      <w:iCs/>
      <w:color w:val="404040" w:themeColor="text1" w:themeTint="BF"/>
    </w:rPr>
  </w:style>
  <w:style w:type="character" w:customStyle="1" w:styleId="QuoteChar">
    <w:name w:val="Quote Char"/>
    <w:basedOn w:val="DefaultParagraphFont"/>
    <w:link w:val="Quote"/>
    <w:uiPriority w:val="29"/>
    <w:rsid w:val="002C0F20"/>
    <w:rPr>
      <w:i/>
      <w:iCs/>
      <w:color w:val="404040" w:themeColor="text1" w:themeTint="BF"/>
    </w:rPr>
  </w:style>
  <w:style w:type="paragraph" w:styleId="ListParagraph">
    <w:name w:val="List Paragraph"/>
    <w:basedOn w:val="Normal"/>
    <w:uiPriority w:val="34"/>
    <w:qFormat/>
    <w:rsid w:val="002C0F20"/>
    <w:pPr>
      <w:ind w:left="720"/>
      <w:contextualSpacing/>
    </w:pPr>
  </w:style>
  <w:style w:type="character" w:styleId="IntenseEmphasis">
    <w:name w:val="Intense Emphasis"/>
    <w:basedOn w:val="DefaultParagraphFont"/>
    <w:uiPriority w:val="21"/>
    <w:qFormat/>
    <w:rsid w:val="002C0F20"/>
    <w:rPr>
      <w:i/>
      <w:iCs/>
      <w:color w:val="0F4761" w:themeColor="accent1" w:themeShade="BF"/>
    </w:rPr>
  </w:style>
  <w:style w:type="paragraph" w:styleId="IntenseQuote">
    <w:name w:val="Intense Quote"/>
    <w:basedOn w:val="Normal"/>
    <w:next w:val="Normal"/>
    <w:link w:val="IntenseQuoteChar"/>
    <w:uiPriority w:val="30"/>
    <w:qFormat/>
    <w:rsid w:val="002C0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F20"/>
    <w:rPr>
      <w:i/>
      <w:iCs/>
      <w:color w:val="0F4761" w:themeColor="accent1" w:themeShade="BF"/>
    </w:rPr>
  </w:style>
  <w:style w:type="character" w:styleId="IntenseReference">
    <w:name w:val="Intense Reference"/>
    <w:basedOn w:val="DefaultParagraphFont"/>
    <w:uiPriority w:val="32"/>
    <w:qFormat/>
    <w:rsid w:val="002C0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816</Words>
  <Characters>4652</Characters>
  <Application>Microsoft Office Word</Application>
  <DocSecurity>0</DocSecurity>
  <Lines>38</Lines>
  <Paragraphs>10</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Abiodun Adebisi</dc:creator>
  <cp:keywords/>
  <dc:description/>
  <cp:lastModifiedBy>Abiodun Adebisi</cp:lastModifiedBy>
  <cp:revision>1</cp:revision>
  <dcterms:created xsi:type="dcterms:W3CDTF">2026-04-01T07:02:00Z</dcterms:created>
  <dcterms:modified xsi:type="dcterms:W3CDTF">2026-04-01T07:04:00Z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21e1165d-771e-4dfe-9225-af825aa85a5d</vt:lpwstr>
  </property>
</Properties>
</file>