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A · STRATEGY &amp; GOVERNANCE</w:t>
      </w:r>
    </w:p>
    <w:p>
      <w:pPr>
        <w:pStyle w:val="Title"/>
        <w:pBdr>
          <w:bottom w:val="single" w:sz="20" w:space="6" w:color="B98A2E"/>
        </w:pBdr>
      </w:pPr>
      <w:r>
        <w:t>Master Index &amp; Reading Guide</w:t>
      </w:r>
    </w:p>
    <w:p>
      <w:pPr>
        <w:spacing w:after="280"/>
      </w:pPr>
      <w:r>
        <w:rPr>
          <w:i/>
          <w:color w:val="5A6B7B"/>
          <w:sz w:val="25"/>
        </w:rPr>
        <w:t>The navigation map for the Equator Resolution documentation set — what every document is, who it is for, and the order to read them.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Master Index &amp; Reading Guide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2.0 (fresh consolidated set)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8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Founder / Architecture (Infrabyx Consultancy (OPC) Pvt. Ltd.)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Primary brand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Equator Resolution (platform) · equatorresolution.com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Related brands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Equator ADR Institute — training (equatoradr.com) · Equa.Law (legacy consumer brand)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DOC-00…DOC-17 and the DRSP volumes (archived 2026-07)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How to Read This Pack</w:t>
      </w:r>
    </w:p>
    <w:p>
      <w:pPr>
        <w:spacing w:after="120"/>
      </w:pPr>
      <w:r>
        <w:rPr>
          <w:b w:val="0"/>
        </w:rPr>
        <w:t>This is the consolidated, freshly-rebuilt documentation set for Equator Resolution — an Online Dispute Resolution (ODR) platform and dispute-resolution institution. The platform spans marital/family, NBFC–borrower, commercial/MSME, workplace (grievance/POSH), consumer, securities and cross-border/international disputes; it operates a managed institution (the Equator Dispute Resolution Service, “EDRS”), neutral-facing Private ADR Court infrastructure, an enterprise grievance-escalation layer, an AI-assisted Dispute Explorer, and a separately-branded training arm, the Equator ADR Institute.</w:t>
      </w:r>
    </w:p>
    <w:p>
      <w:pPr>
        <w:spacing w:after="120"/>
      </w:pPr>
      <w:r>
        <w:rPr>
          <w:b w:val="0"/>
        </w:rPr>
        <w:t>The set was rebuilt in July 2026 to remove duplication (two overlapping master architectures were merged into EQR-01), to correct structure, and to add material that prior versions lacked: the Dispute Explorer AI specification, PayPal alongside Razorpay, explicit execution/enforcement of awards and settlements, deeper statutory coverage (MSMED, Commercial Courts, Family Courts, Consumer Protection), the mobile-app architecture, the website menu and page content, and refreshed competitor research. The previous 25 files are preserved unchanged in the Archive_2026-07 subfolder.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Reading order.  </w:t>
            </w:r>
            <w:r>
              <w:rPr>
                <w:color w:val="1A1A1A"/>
                <w:sz w:val="19"/>
              </w:rPr>
              <w:t>New readers should start with EQR-01 (architecture), then branch by role using the paths below. Developers can build directly from EQR-01, EQR-02, EQR-06, EQR-08 and the EQR-12 forms workbook. Business and legal readers should start with EQR-03 (dispute modules) and EQR-04 (legal &amp; enforcement).</w:t>
            </w:r>
          </w:p>
        </w:tc>
      </w:tr>
    </w:tbl>
    <w:p>
      <w:pPr>
        <w:spacing w:after="40"/>
      </w:pPr>
    </w:p>
    <w:p>
      <w:pPr>
        <w:pStyle w:val="Heading1"/>
      </w:pPr>
      <w:r>
        <w:t>2. The Document Families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Family</w:t>
            </w:r>
          </w:p>
        </w:tc>
        <w:tc>
          <w:tcPr>
            <w:tcW w:type="dxa" w:w="446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What it answers</w:t>
            </w:r>
          </w:p>
        </w:tc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Primary audience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 · Strategy &amp; Governance</w:t>
            </w:r>
          </w:p>
        </w:tc>
        <w:tc>
          <w:tcPr>
            <w:tcW w:type="dxa" w:w="446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Why this, the market, the model, how the pack is governed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Founders, board, investors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B · Architecture &amp; Build</w:t>
            </w:r>
          </w:p>
        </w:tc>
        <w:tc>
          <w:tcPr>
            <w:tcW w:type="dxa" w:w="446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How the platform is designed, built, integrated and secured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CTO, architects, engineers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 · Product &amp; Process</w:t>
            </w:r>
          </w:p>
        </w:tc>
        <w:tc>
          <w:tcPr>
            <w:tcW w:type="dxa" w:w="446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The dispute journeys, modules, forms and neutral operations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Product, legal-ops, case managers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 · Legal &amp; Compliance</w:t>
            </w:r>
          </w:p>
        </w:tc>
        <w:tc>
          <w:tcPr>
            <w:tcW w:type="dxa" w:w="446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The law each dispute follows; enforcement; privacy &amp; security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Legal, compliance, audit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E · Web, Mobile &amp; Content</w:t>
            </w:r>
          </w:p>
        </w:tc>
        <w:tc>
          <w:tcPr>
            <w:tcW w:type="dxa" w:w="446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Site architecture, menu, page copy and the mobile apps</w:t>
            </w:r>
          </w:p>
        </w:tc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Product, design, front-end, marketing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F · Finance &amp; Reference</w:t>
            </w:r>
          </w:p>
        </w:tc>
        <w:tc>
          <w:tcPr>
            <w:tcW w:type="dxa" w:w="446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Unit economics, pricing, diagrams, API, evidence</w:t>
            </w:r>
          </w:p>
        </w:tc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Founders, CFO, engineering</w:t>
            </w:r>
          </w:p>
        </w:tc>
      </w:tr>
    </w:tbl>
    <w:p>
      <w:pPr>
        <w:spacing w:after="40"/>
      </w:pPr>
    </w:p>
    <w:p>
      <w:pPr>
        <w:pStyle w:val="Heading1"/>
      </w:pPr>
      <w:r>
        <w:t>3. Document Register (the fresh set)</w:t>
      </w:r>
    </w:p>
    <w:p>
      <w:pPr>
        <w:spacing w:after="120"/>
      </w:pPr>
      <w:r>
        <w:rPr>
          <w:b w:val="0"/>
        </w:rPr>
        <w:t>Every deliverable in the rebuilt pack (47 deliverables), with its code, format, purpose and audience. Codes are referenced across documents (e.g., “see EQR-04 §3”).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0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4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136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4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EQR-00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Master Index &amp; Reading Guide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This navigation map for the pack.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EQR-01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Platform &amp; Solution Architecture (Master)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Single source of truth: business, functional, data, integration, security, AI, tech stack, deployment, roadmap. Merges the two prior masters.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EQR-02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ODR Engine &amp; Detailed Process Architecture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The dedicated ODR architecture: negotiation/mediation/conciliation/arbitration engines, lifecycle state machines, hearings, evidence, notice, settlement, award and execution.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EQR-03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Dispute Modules Compendium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Separate modules per dispute type (family, NBFC, commercial/MSME, grievance/POSH, consumer, securities, international) — pathway, forms, law, remedies, execution.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EQR-04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Legal, Regulatory &amp; Enforcement Framework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Every statute the platform encodes; execution of awards (S.36) and mediated settlements (S.27); eStamp/eSign legal basis; cross-border enforcement.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EQR-05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Neutrals Lifecycle &amp; Governance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Empanelment, allocation, working, fees/payouts, performance, retirement, complaints &amp; discipline, accreditation.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EQR-06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Enterprise Integration, API &amp; Grievance Escalation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Company ticket→escalation model; NBFC/UCB/listed-company grievance integration; embed/white-label; offered and consumed APIs.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EQR-07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Dispute Explorer (AI) Specification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Claude-API-powered pre-litigation viability assessment: flows, prompts, guardrails, data model, DPDP handling.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EQR-08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Payments, Pricing &amp; Fee Architecture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Razorpay (India) + PayPal (international); party fees; neutral fee disposition/payouts; escrow; published rate cards; refunds.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EQR-09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Website Architecture, Sitemap &amp; Menu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Full menu tree, page inventory, per-persona dashboards, case-status explorer, navigation and wireframe notes.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EQR-10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Website Content — Page Copy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Ready-to-use text and punchlines for every page in the menu.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EQR-11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Mobile Application Architecture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iOS/Android apps, persona builds, offline, notifications, mobile eSign/eStamp, security.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EQR-12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Forms &amp; Data Specification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Excel + 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Field-level forms + relational schema + enumerations (Excel build source) and a readable Forms &amp; Modules Catalogue (Word).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EQR-13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Competitor &amp; Market Research (refreshed)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India + global ODR landscape refreshed July 2026 (adds PACT, Sahamati, SCORES/SMART-ODR, SIAC, IMI, MCIA, DIAC/IIAC).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EQR-14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Security, Privacy &amp; Compliance Pack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DPDP Act + Rules 2025, STRIDE, ISO 27001/SOC 2, data classification, identity assurance, eSign/eStamp integrity.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EQR-15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Architecture Improvement &amp; Roadmap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Fifteen research-backed enhancements (gap, recommendation, where it lands, priority) + prioritised implementation waves.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EQR-16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Architecture Diagrams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HTML + PDF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Ten branded visual diagrams: system context, layers, services, lifecycle, ladder, escalation, Dispute Explorer, payments, deployment, ERD.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EQR-17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Financial Model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Excel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Driver-based 5-year model: drivers, revenue, unit economics, costs &amp; headcount, P&amp;L, summary. Live formulas, zero errors.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EQR-18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API Reference + OpenAPI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YAML + HTML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OpenAPI 3.1 spec (22 endpoints, 26 schemas, 6 webhooks) + browsable API reference.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EQR-19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Design System &amp; UI Kit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 + JSON + HTML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Design tokens, component inventory &amp; states, WCAG 2.2 AA criteria; tokens JSON + hi-fi wireframes.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EQR-20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Schema-Driven Form Engine Spec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 + JSON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One JSON schema renders every form; field-type catalog, validation, EQR-12 mapping; sample schema.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EQR-21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Database DDL, Migrations &amp; Event Catalog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 + SQL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Schema conventions, migrations, runnable PostgreSQL DDL, field-level domain-event catalog.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EQR-22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Identity &amp; Access (IAM/Auth) Spec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OIDC/OAuth2 flows, tokens/sessions, MFA/step-up, RBAC+ABAC policy matrix.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EQR-23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NFR, Operations, CI/CD &amp; IaC Pack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SLOs/error budgets, CI/CD pipeline, IaC, observability, DR runbook, incident mgmt.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EQR-24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Test, QA &amp; Traceability (RTM)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Test pyramid, synthetic data, Gherkin acceptance, quality gates, requirements traceability matrix.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EQR-25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Front-End Engineering Spec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Next.js/React+TS, rendering, structure, state, form-engine &amp; design-system integration, i18n, performance.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EQR-26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Technical SEO &amp; Web Performance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SSR/SSG for SEO, sitemap/structured data/hreflang, keyword map, Core Web Vitals budgets.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EQR-27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Legal Pages &amp; DPA (templates)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Draft Terms, Privacy (DPDP), Cookies, Disclaimer, Grievance Officer, AUP, Explorer consent, DPA + sub-processors.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EQR-28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Risk, ADR, Notifications &amp; Delivery Backlog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Scored risk register, ADR log, notification template library, phased backlog + Phase-1 sprint plan.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EQR-29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End-to-End Worked Case Walkthroughs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One fully-traced synthetic case per pillar: events, timestamps, documents, money, outcome, execution.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EQR-30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Dispute Playbooks — Deep-Dive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Per-pillar practitioner playbooks: strategy, remedies, case-law themes, decision trees, model ADR clauses, execution steps.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EQR-31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Dispute Explorer AI Pack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 + MD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System/prompt templates, RAG design, output schema, evaluation rubric + test set, guardrails, model card.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EQR-32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Full Schema DDL + Ruleset Configs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 + SQL + JSON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Remaining-table DDL supplement + real ruleset JSON per pillar (clocks/fees/allocation/flags).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EQR-33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API Cookbook &amp; Sequence Diagrams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 + MD + HTML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Copy-paste curl/JSON examples, error catalog, webhook signature; sequence diagrams for key flows.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EQR-34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Research &amp; Evidence Annex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Every market/legal/competitor claim sourced, dated and confidence-rated; source register.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EQR-35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Controls Catalog, DPIA &amp; RoPA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ISO 27001/SOC 2 control catalog w/ evidence; completed DPIA; RoPA; retention schedule.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EQR-36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Process Blueprints (BPMN, RACI)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 + HTML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Swimlane flows, RACI matrices, SLA decision tables, exception/compensation flows.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EQR-37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Edge-Case &amp; Failure-Mode Catalog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Non-happy paths: multi-party, withdrawal, recusal, failed service/payment, challenge, injection.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EQR-38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Glossary &amp; Ubiquitous Language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Authoritative shared domain vocabulary across the whole set.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EQR-39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Persona Journey Maps &amp; Blueprints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Front-stage/back-stage journeys for party, neutral, enterprise and IC personas.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EQR-40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Operational Runbooks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Step-by-step: onboard a lender, empanel a neutral, breach response, DR failover, bulk intake.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EQR-41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State-Transition &amp; Limitation Reference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Full state×event×guard table, clock reference, limitation-by-cause-of-action table.</w:t>
            </w:r>
          </w:p>
        </w:tc>
      </w:tr>
      <w:tr>
        <w:tc>
          <w:tcPr>
            <w:tcW w:type="dxa" w:w="10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EQR-42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Bottoms-Up Market Model</w:t>
            </w:r>
          </w:p>
        </w:tc>
        <w:tc>
          <w:tcPr>
            <w:tcW w:type="dxa" w:w="136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Excel + Word</w:t>
            </w:r>
          </w:p>
        </w:tc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TAM/SAM/SOM by pillar with sensitivity; reading note. Cross-checks EQR-13/17.</w:t>
            </w:r>
          </w:p>
        </w:tc>
      </w:tr>
      <w:tr>
        <w:tc>
          <w:tcPr>
            <w:tcW w:type="dxa" w:w="10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EQR-43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Accessibility &amp; Vernacular Pack</w:t>
            </w:r>
          </w:p>
        </w:tc>
        <w:tc>
          <w:tcPr>
            <w:tcW w:type="dxa" w:w="136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Word</w:t>
            </w:r>
          </w:p>
        </w:tc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Component-level WCAG 2.2 AA criteria, screen-reader scripts, vernacular/translation workflow.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Build-ready + deep.  </w:t>
            </w:r>
            <w:r>
              <w:rPr>
                <w:color w:val="1A1A1A"/>
                <w:sz w:val="19"/>
              </w:rPr>
              <w:t>EQR-15–18 add the improvement roadmap, diagrams, financial model and API. EQR-19–28 add the web-development execution layer (design system, form engine, DDL &amp; events, IAM, NFR/CI-CD, test/RTM, front-end, SEO, legal pages, delivery backlog). EQR-29–43 deepen the content — worked case walkthroughs, practitioner playbooks, the AI prompt/eval pack, full DDL + ruleset configs, the API cookbook, research/evidence annex, controls/DPIA/RoPA, process blueprints, edge cases, glossary, journey maps, runbooks, state/limitation reference, a bottoms-up market model, and the accessibility/vernacular pack. The archived Investor Deck remains a reference pending refresh; re-verify time-sensitive figures before external use.</w:t>
            </w:r>
          </w:p>
        </w:tc>
      </w:tr>
    </w:tbl>
    <w:p>
      <w:pPr>
        <w:spacing w:after="40"/>
      </w:pPr>
    </w:p>
    <w:p>
      <w:pPr>
        <w:pStyle w:val="Heading1"/>
      </w:pPr>
      <w:r>
        <w:t>4. Reading Paths by Role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69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Suggested path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Investor / Board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EQR-00 → EQR-13 (market) → EQR-01 §1–3 (thesis &amp; model) → EQR-08 (pricing) → archived Financial Model.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CTO / Architect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EQR-00 → EQR-01 → EQR-02 → EQR-06 (integration/API) → EQR-12 (forms/schema) → EQR-14 (security).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Front-end / Product / Design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EQR-09 (architecture/menu) → EQR-10 (content) → EQR-11 (mobile) → EQR-07 (Dispute Explorer) → EQR-12 (forms).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Legal / Case-ops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EQR-03 (modules) → EQR-04 (law &amp; enforcement) → EQR-05 (neutrals) → EQR-12 tabs (workflow forms).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Compliance / Audit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EQR-14 (security &amp; privacy) → EQR-04 (regulatory) → EQR-05 (neutral governance) → EQR-06 (data-sharing on escalation).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Enterprise / Partnerships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EQR-06 (integration &amp; escalation) → EQR-08 (pricing) → EQR-03 (grievance/POSH, NBFC) → EQR-09 (business pages).</w:t>
            </w:r>
          </w:p>
        </w:tc>
      </w:tr>
    </w:tbl>
    <w:p>
      <w:pPr>
        <w:spacing w:after="40"/>
      </w:pPr>
    </w:p>
    <w:p>
      <w:pPr>
        <w:pStyle w:val="Heading1"/>
      </w:pPr>
      <w:r>
        <w:t>5. How the Documents Interlock</w:t>
      </w:r>
    </w:p>
    <w:p>
      <w:pPr>
        <w:spacing w:after="120"/>
      </w:pPr>
      <w:r>
        <w:rPr>
          <w:b w:val="0"/>
        </w:rPr>
        <w:t>The pack is a connected system. EQR-01 is the architectural spine; EQR-02 elaborates its ODR engine; EQR-03 turns the engine into per-dispute journeys; EQR-04 supplies the law those journeys must honour; EQR-05, EQR-06, EQR-07 and EQR-08 specify the four capabilities that differentiate the platform (neutrals, enterprise/API, AI, payments); EQR-09/10/11 present all of it to users on web and mobile; EQR-12 is the field-level contract shared by front-end and back-end; EQR-13 and EQR-14 provide market and assurance evidence.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4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If you change…</w:t>
            </w:r>
          </w:p>
        </w:tc>
        <w:tc>
          <w:tcPr>
            <w:tcW w:type="dxa" w:w="59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…check the impact in</w:t>
            </w:r>
          </w:p>
        </w:tc>
      </w:tr>
      <w:tr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 statute or timeline</w:t>
            </w:r>
          </w:p>
        </w:tc>
        <w:tc>
          <w:tcPr>
            <w:tcW w:type="dxa" w:w="59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EQR-04 (law) → EQR-03 (module clock) → EQR-02 (state machine) → EQR-12 (limitation rules) → EQR-14 (retention)</w:t>
            </w:r>
          </w:p>
        </w:tc>
      </w:tr>
      <w:tr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 data field</w:t>
            </w:r>
          </w:p>
        </w:tc>
        <w:tc>
          <w:tcPr>
            <w:tcW w:type="dxa" w:w="59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EQR-12 (schema) → EQR-01 §7 (data) → EQR-14 (classification/retention) → EQR-09/10 (form UI/labels)</w:t>
            </w:r>
          </w:p>
        </w:tc>
      </w:tr>
      <w:tr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 fee or payout rule</w:t>
            </w:r>
          </w:p>
        </w:tc>
        <w:tc>
          <w:tcPr>
            <w:tcW w:type="dxa" w:w="59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EQR-08 (pricing/payout) → EQR-12 (fee tables) → EQR-05 (neutral fees) → EQR-10 (Schedule of Fee page)</w:t>
            </w:r>
          </w:p>
        </w:tc>
      </w:tr>
      <w:tr>
        <w:tc>
          <w:tcPr>
            <w:tcW w:type="dxa" w:w="34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An AI behaviour</w:t>
            </w:r>
          </w:p>
        </w:tc>
        <w:tc>
          <w:tcPr>
            <w:tcW w:type="dxa" w:w="59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EQR-07 (Dispute Explorer) → EQR-01 §10 (AI governance) → EQR-14 (model risk) → EQR-10 (disclaimers)</w:t>
            </w:r>
          </w:p>
        </w:tc>
      </w:tr>
      <w:tr>
        <w:tc>
          <w:tcPr>
            <w:tcW w:type="dxa" w:w="34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An integration/API</w:t>
            </w:r>
          </w:p>
        </w:tc>
        <w:tc>
          <w:tcPr>
            <w:tcW w:type="dxa" w:w="59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EQR-06 (contracts) → EQR-01 §8 → EQR-12 (event schema) → archived OpenAPI (endpoints)</w:t>
            </w:r>
          </w:p>
        </w:tc>
      </w:tr>
    </w:tbl>
    <w:p>
      <w:pPr>
        <w:spacing w:after="40"/>
      </w:pPr>
    </w:p>
    <w:p>
      <w:pPr>
        <w:pStyle w:val="Heading1"/>
      </w:pPr>
      <w:r>
        <w:t>6. Documentation &amp; Brand Standards</w:t>
      </w:r>
    </w:p>
    <w:p>
      <w:pPr>
        <w:spacing w:after="120"/>
      </w:pPr>
      <w:r>
        <w:rPr>
          <w:b w:val="0"/>
        </w:rPr>
        <w:t>Every document opens with a Document Control table and a Contents field; uses the navy/teal design system, numbered headings and navy-header zebra tables; carries a Confidential — Internal footer with page numbers; and cross-references other documents by code. Legal passages carry a “not advice for a specific matter” caveat; time-sensitive figures carry a “re-verify” note.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69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Primary brand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“Equator Resolution” is the platform/institution name in all documents.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Training brand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“Equator ADR Institute” (equatoradr.com) is a separate website for ADR training &amp; certification; the platform links to it but does not host courses.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Legacy brand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“Equa.Law / Equa” is the legacy consumer brand; use only where continuity with the live sites is required.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Legal owner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Infrabyx Consultancy (OPC) Private Limited; presence: Singapore | New Delhi | New York | London.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Currency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Statutory and market facts are dated; the Arbitration &amp; Conciliation (Amendment) Bill 2024 is treated as proposed, not law.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Source of truth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Live platform rulesets are authoritative for runtime behaviour; documents describe and must be kept in step with them.</w:t>
            </w:r>
          </w:p>
        </w:tc>
      </w:tr>
    </w:tbl>
    <w:p>
      <w:pPr>
        <w:spacing w:after="40"/>
      </w:pPr>
    </w:p>
    <w:p>
      <w:pPr>
        <w:pStyle w:val="Heading1"/>
      </w:pPr>
      <w:r>
        <w:t>7. Governance &amp; Review Cadence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Body</w:t>
            </w:r>
          </w:p>
        </w:tc>
        <w:tc>
          <w:tcPr>
            <w:tcW w:type="dxa" w:w="47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Remit</w:t>
            </w:r>
          </w:p>
        </w:tc>
        <w:tc>
          <w:tcPr>
            <w:tcW w:type="dxa" w:w="17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Cadence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Architecture Review Board</w:t>
            </w:r>
          </w:p>
        </w:tc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Decisions, requirement coverage, non-functional sign-off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Per phase gate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Change Advisory Board</w:t>
            </w:r>
          </w:p>
        </w:tc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Ruleset, fee-schedule and template changes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On change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Model-Risk &amp; AI Committee</w:t>
            </w:r>
          </w:p>
        </w:tc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Dispute Explorer &amp; AI governance, model registry, fairness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Quarterly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Compliance Review</w:t>
            </w:r>
          </w:p>
        </w:tc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DPDP, controls register, legal updates, evidence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Quarterly / on regulation change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The one habit that sustains this standard.  </w:t>
            </w:r>
            <w:r>
              <w:rPr>
                <w:color w:val="1A1A1A"/>
                <w:sz w:val="19"/>
              </w:rPr>
              <w:t>Documents drift the moment they ship. Move the living artefacts — forms/schema (EQR-12), the pricing rate cards (EQR-08) and the controls register (EQR-14) — into a version-controlled repository with named owners and the cadence above. Advisory-grade is a process, not a one-time artefact.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A6B7B"/>
          <w:sz w:val="18"/>
        </w:rPr>
        <w:t>End of EQR-00 v2.0.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EQR-00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