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B2E4F"/>
        <w:spacing w:after="40"/>
      </w:pPr>
      <w:r>
        <w:rPr>
          <w:sz w:val="8"/>
        </w:rPr>
        <w:t xml:space="preserve"> </w:t>
      </w:r>
    </w:p>
    <w:p>
      <w:pPr>
        <w:spacing w:before="200" w:after="40"/>
      </w:pPr>
      <w:r>
        <w:rPr>
          <w:b/>
          <w:color w:val="1F7A8C"/>
          <w:sz w:val="20"/>
        </w:rPr>
        <w:t>FAMILY B · ARCHITECTURE &amp; BUILD</w:t>
      </w:r>
    </w:p>
    <w:p>
      <w:pPr>
        <w:pStyle w:val="Title"/>
        <w:pBdr>
          <w:bottom w:val="single" w:sz="20" w:space="6" w:color="B98A2E"/>
        </w:pBdr>
      </w:pPr>
      <w:r>
        <w:t>Platform &amp; Solution Architecture</w:t>
      </w:r>
    </w:p>
    <w:p>
      <w:pPr>
        <w:spacing w:after="280"/>
      </w:pPr>
      <w:r>
        <w:rPr>
          <w:i/>
          <w:color w:val="5A6B7B"/>
          <w:sz w:val="25"/>
        </w:rPr>
        <w:t>The consolidated master architecture for Equator Resolution — business, functional, data, integration, security, AI, technology and delivery. Single source of truth; supersedes and merges the two prior master architectures.</w:t>
      </w:r>
    </w:p>
    <w:p>
      <w:pPr>
        <w:pStyle w:val="Heading2"/>
      </w:pPr>
      <w:r>
        <w:t>Document Control</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2880"/>
            <w:shd w:val="clear" w:color="auto" w:fill="0B2E4F"/>
            <w:tcMar>
              <w:top w:w="60" w:type="dxa"/>
              <w:left w:w="110" w:type="dxa"/>
              <w:bottom w:w="60" w:type="dxa"/>
              <w:right w:w="110" w:type="dxa"/>
            </w:tcMar>
            <w:vAlign w:val="center"/>
          </w:tcPr>
          <w:p>
            <w:pPr>
              <w:spacing w:after="20"/>
            </w:pPr>
            <w:r>
              <w:rPr>
                <w:b/>
                <w:color w:val="FFFFFF"/>
                <w:sz w:val="19"/>
              </w:rPr>
              <w:t>Field</w:t>
            </w:r>
          </w:p>
        </w:tc>
        <w:tc>
          <w:tcPr>
            <w:tcW w:type="dxa" w:w="6480"/>
            <w:shd w:val="clear" w:color="auto" w:fill="0B2E4F"/>
            <w:tcMar>
              <w:top w:w="60" w:type="dxa"/>
              <w:left w:w="110" w:type="dxa"/>
              <w:bottom w:w="60" w:type="dxa"/>
              <w:right w:w="110" w:type="dxa"/>
            </w:tcMar>
            <w:vAlign w:val="center"/>
          </w:tcPr>
          <w:p>
            <w:pPr>
              <w:spacing w:after="20"/>
            </w:pPr>
            <w:r>
              <w:rPr>
                <w:b/>
                <w:color w:val="FFFFFF"/>
                <w:sz w:val="19"/>
              </w:rPr>
              <w:t>Detail</w:t>
            </w:r>
          </w:p>
        </w:tc>
      </w:tr>
      <w:tr>
        <w:tc>
          <w:tcPr>
            <w:tcW w:type="dxa" w:w="2880"/>
            <w:tcMar>
              <w:top w:w="60" w:type="dxa"/>
              <w:left w:w="110" w:type="dxa"/>
              <w:bottom w:w="60" w:type="dxa"/>
              <w:right w:w="110" w:type="dxa"/>
            </w:tcMar>
            <w:vAlign w:val="top"/>
          </w:tcPr>
          <w:p>
            <w:pPr>
              <w:spacing w:after="20"/>
            </w:pPr>
            <w:r>
              <w:rPr>
                <w:b/>
                <w:sz w:val="19"/>
              </w:rPr>
              <w:t>Document code</w:t>
            </w:r>
          </w:p>
        </w:tc>
        <w:tc>
          <w:tcPr>
            <w:tcW w:type="dxa" w:w="6480"/>
            <w:tcMar>
              <w:top w:w="60" w:type="dxa"/>
              <w:left w:w="110" w:type="dxa"/>
              <w:bottom w:w="60" w:type="dxa"/>
              <w:right w:w="110" w:type="dxa"/>
            </w:tcMar>
            <w:vAlign w:val="top"/>
          </w:tcPr>
          <w:p>
            <w:pPr>
              <w:spacing w:after="20"/>
            </w:pPr>
            <w:r>
              <w:rPr>
                <w:sz w:val="19"/>
              </w:rPr>
              <w:t>EQR-01</w:t>
            </w:r>
          </w:p>
        </w:tc>
      </w:tr>
      <w:tr>
        <w:tc>
          <w:tcPr>
            <w:tcW w:type="dxa" w:w="2880"/>
            <w:shd w:val="clear" w:color="auto" w:fill="EAF1F6"/>
            <w:tcMar>
              <w:top w:w="60" w:type="dxa"/>
              <w:left w:w="110" w:type="dxa"/>
              <w:bottom w:w="60" w:type="dxa"/>
              <w:right w:w="110" w:type="dxa"/>
            </w:tcMar>
            <w:vAlign w:val="top"/>
          </w:tcPr>
          <w:p>
            <w:pPr>
              <w:spacing w:after="20"/>
            </w:pPr>
            <w:r>
              <w:rPr>
                <w:b/>
                <w:sz w:val="19"/>
              </w:rPr>
              <w:t>Document title</w:t>
            </w:r>
          </w:p>
        </w:tc>
        <w:tc>
          <w:tcPr>
            <w:tcW w:type="dxa" w:w="6480"/>
            <w:shd w:val="clear" w:color="auto" w:fill="EAF1F6"/>
            <w:tcMar>
              <w:top w:w="60" w:type="dxa"/>
              <w:left w:w="110" w:type="dxa"/>
              <w:bottom w:w="60" w:type="dxa"/>
              <w:right w:w="110" w:type="dxa"/>
            </w:tcMar>
            <w:vAlign w:val="top"/>
          </w:tcPr>
          <w:p>
            <w:pPr>
              <w:spacing w:after="20"/>
            </w:pPr>
            <w:r>
              <w:rPr>
                <w:sz w:val="19"/>
              </w:rPr>
              <w:t>Platform &amp; Solution Architecture (Master)</w:t>
            </w:r>
          </w:p>
        </w:tc>
      </w:tr>
      <w:tr>
        <w:tc>
          <w:tcPr>
            <w:tcW w:type="dxa" w:w="2880"/>
            <w:tcMar>
              <w:top w:w="60" w:type="dxa"/>
              <w:left w:w="110" w:type="dxa"/>
              <w:bottom w:w="60" w:type="dxa"/>
              <w:right w:w="110" w:type="dxa"/>
            </w:tcMar>
            <w:vAlign w:val="top"/>
          </w:tcPr>
          <w:p>
            <w:pPr>
              <w:spacing w:after="20"/>
            </w:pPr>
            <w:r>
              <w:rPr>
                <w:b/>
                <w:sz w:val="19"/>
              </w:rPr>
              <w:t>Version</w:t>
            </w:r>
          </w:p>
        </w:tc>
        <w:tc>
          <w:tcPr>
            <w:tcW w:type="dxa" w:w="6480"/>
            <w:tcMar>
              <w:top w:w="60" w:type="dxa"/>
              <w:left w:w="110" w:type="dxa"/>
              <w:bottom w:w="60" w:type="dxa"/>
              <w:right w:w="110" w:type="dxa"/>
            </w:tcMar>
            <w:vAlign w:val="top"/>
          </w:tcPr>
          <w:p>
            <w:pPr>
              <w:spacing w:after="20"/>
            </w:pPr>
            <w:r>
              <w:rPr>
                <w:sz w:val="19"/>
              </w:rPr>
              <w:t>2.0 — consolidated</w:t>
            </w:r>
          </w:p>
        </w:tc>
      </w:tr>
      <w:tr>
        <w:tc>
          <w:tcPr>
            <w:tcW w:type="dxa" w:w="2880"/>
            <w:shd w:val="clear" w:color="auto" w:fill="EAF1F6"/>
            <w:tcMar>
              <w:top w:w="60" w:type="dxa"/>
              <w:left w:w="110" w:type="dxa"/>
              <w:bottom w:w="60" w:type="dxa"/>
              <w:right w:w="110" w:type="dxa"/>
            </w:tcMar>
            <w:vAlign w:val="top"/>
          </w:tcPr>
          <w:p>
            <w:pPr>
              <w:spacing w:after="20"/>
            </w:pPr>
            <w:r>
              <w:rPr>
                <w:b/>
                <w:sz w:val="19"/>
              </w:rPr>
              <w:t>Date</w:t>
            </w:r>
          </w:p>
        </w:tc>
        <w:tc>
          <w:tcPr>
            <w:tcW w:type="dxa" w:w="6480"/>
            <w:shd w:val="clear" w:color="auto" w:fill="EAF1F6"/>
            <w:tcMar>
              <w:top w:w="60" w:type="dxa"/>
              <w:left w:w="110" w:type="dxa"/>
              <w:bottom w:w="60" w:type="dxa"/>
              <w:right w:w="110" w:type="dxa"/>
            </w:tcMar>
            <w:vAlign w:val="top"/>
          </w:tcPr>
          <w:p>
            <w:pPr>
              <w:spacing w:after="20"/>
            </w:pPr>
            <w:r>
              <w:rPr>
                <w:sz w:val="19"/>
              </w:rPr>
              <w:t>8 July 2026</w:t>
            </w:r>
          </w:p>
        </w:tc>
      </w:tr>
      <w:tr>
        <w:tc>
          <w:tcPr>
            <w:tcW w:type="dxa" w:w="2880"/>
            <w:tcMar>
              <w:top w:w="60" w:type="dxa"/>
              <w:left w:w="110" w:type="dxa"/>
              <w:bottom w:w="60" w:type="dxa"/>
              <w:right w:w="110" w:type="dxa"/>
            </w:tcMar>
            <w:vAlign w:val="top"/>
          </w:tcPr>
          <w:p>
            <w:pPr>
              <w:spacing w:after="20"/>
            </w:pPr>
            <w:r>
              <w:rPr>
                <w:b/>
                <w:sz w:val="19"/>
              </w:rPr>
              <w:t>Status</w:t>
            </w:r>
          </w:p>
        </w:tc>
        <w:tc>
          <w:tcPr>
            <w:tcW w:type="dxa" w:w="6480"/>
            <w:tcMar>
              <w:top w:w="60" w:type="dxa"/>
              <w:left w:w="110" w:type="dxa"/>
              <w:bottom w:w="60" w:type="dxa"/>
              <w:right w:w="110" w:type="dxa"/>
            </w:tcMar>
            <w:vAlign w:val="top"/>
          </w:tcPr>
          <w:p>
            <w:pPr>
              <w:spacing w:after="20"/>
            </w:pPr>
            <w:r>
              <w:rPr>
                <w:sz w:val="19"/>
              </w:rPr>
              <w:t>Issued for build</w:t>
            </w:r>
          </w:p>
        </w:tc>
      </w:tr>
      <w:tr>
        <w:tc>
          <w:tcPr>
            <w:tcW w:type="dxa" w:w="2880"/>
            <w:shd w:val="clear" w:color="auto" w:fill="EAF1F6"/>
            <w:tcMar>
              <w:top w:w="60" w:type="dxa"/>
              <w:left w:w="110" w:type="dxa"/>
              <w:bottom w:w="60" w:type="dxa"/>
              <w:right w:w="110" w:type="dxa"/>
            </w:tcMar>
            <w:vAlign w:val="top"/>
          </w:tcPr>
          <w:p>
            <w:pPr>
              <w:spacing w:after="20"/>
            </w:pPr>
            <w:r>
              <w:rPr>
                <w:b/>
                <w:sz w:val="19"/>
              </w:rPr>
              <w:t>Owner</w:t>
            </w:r>
          </w:p>
        </w:tc>
        <w:tc>
          <w:tcPr>
            <w:tcW w:type="dxa" w:w="6480"/>
            <w:shd w:val="clear" w:color="auto" w:fill="EAF1F6"/>
            <w:tcMar>
              <w:top w:w="60" w:type="dxa"/>
              <w:left w:w="110" w:type="dxa"/>
              <w:bottom w:w="60" w:type="dxa"/>
              <w:right w:w="110" w:type="dxa"/>
            </w:tcMar>
            <w:vAlign w:val="top"/>
          </w:tcPr>
          <w:p>
            <w:pPr>
              <w:spacing w:after="20"/>
            </w:pPr>
            <w:r>
              <w:rPr>
                <w:sz w:val="19"/>
              </w:rPr>
              <w:t>CTO / Chief Architect</w:t>
            </w:r>
          </w:p>
        </w:tc>
      </w:tr>
      <w:tr>
        <w:tc>
          <w:tcPr>
            <w:tcW w:type="dxa" w:w="2880"/>
            <w:tcMar>
              <w:top w:w="60" w:type="dxa"/>
              <w:left w:w="110" w:type="dxa"/>
              <w:bottom w:w="60" w:type="dxa"/>
              <w:right w:w="110" w:type="dxa"/>
            </w:tcMar>
            <w:vAlign w:val="top"/>
          </w:tcPr>
          <w:p>
            <w:pPr>
              <w:spacing w:after="20"/>
            </w:pPr>
            <w:r>
              <w:rPr>
                <w:b/>
                <w:sz w:val="19"/>
              </w:rPr>
              <w:t>Classification</w:t>
            </w:r>
          </w:p>
        </w:tc>
        <w:tc>
          <w:tcPr>
            <w:tcW w:type="dxa" w:w="6480"/>
            <w:tcMar>
              <w:top w:w="60" w:type="dxa"/>
              <w:left w:w="110" w:type="dxa"/>
              <w:bottom w:w="60" w:type="dxa"/>
              <w:right w:w="110" w:type="dxa"/>
            </w:tcMar>
            <w:vAlign w:val="top"/>
          </w:tcPr>
          <w:p>
            <w:pPr>
              <w:spacing w:after="20"/>
            </w:pPr>
            <w:r>
              <w:rPr>
                <w:sz w:val="19"/>
              </w:rPr>
              <w:t>Confidential — Internal</w:t>
            </w:r>
          </w:p>
        </w:tc>
      </w:tr>
      <w:tr>
        <w:tc>
          <w:tcPr>
            <w:tcW w:type="dxa" w:w="2880"/>
            <w:shd w:val="clear" w:color="auto" w:fill="EAF1F6"/>
            <w:tcMar>
              <w:top w:w="60" w:type="dxa"/>
              <w:left w:w="110" w:type="dxa"/>
              <w:bottom w:w="60" w:type="dxa"/>
              <w:right w:w="110" w:type="dxa"/>
            </w:tcMar>
            <w:vAlign w:val="top"/>
          </w:tcPr>
          <w:p>
            <w:pPr>
              <w:spacing w:after="20"/>
            </w:pPr>
            <w:r>
              <w:rPr>
                <w:b/>
                <w:sz w:val="19"/>
              </w:rPr>
              <w:t>Merges</w:t>
            </w:r>
          </w:p>
        </w:tc>
        <w:tc>
          <w:tcPr>
            <w:tcW w:type="dxa" w:w="6480"/>
            <w:shd w:val="clear" w:color="auto" w:fill="EAF1F6"/>
            <w:tcMar>
              <w:top w:w="60" w:type="dxa"/>
              <w:left w:w="110" w:type="dxa"/>
              <w:bottom w:w="60" w:type="dxa"/>
              <w:right w:w="110" w:type="dxa"/>
            </w:tcMar>
            <w:vAlign w:val="top"/>
          </w:tcPr>
          <w:p>
            <w:pPr>
              <w:spacing w:after="20"/>
            </w:pPr>
            <w:r>
              <w:rPr>
                <w:sz w:val="19"/>
              </w:rPr>
              <w:t>Equator_Resolution_Architecture (DOC-01) + DRSP_Architecture_MASTER (archived)</w:t>
            </w:r>
          </w:p>
        </w:tc>
      </w:tr>
      <w:tr>
        <w:tc>
          <w:tcPr>
            <w:tcW w:type="dxa" w:w="2880"/>
            <w:tcMar>
              <w:top w:w="60" w:type="dxa"/>
              <w:left w:w="110" w:type="dxa"/>
              <w:bottom w:w="60" w:type="dxa"/>
              <w:right w:w="110" w:type="dxa"/>
            </w:tcMar>
            <w:vAlign w:val="top"/>
          </w:tcPr>
          <w:p>
            <w:pPr>
              <w:spacing w:after="20"/>
            </w:pPr>
            <w:r>
              <w:rPr>
                <w:b/>
                <w:sz w:val="19"/>
              </w:rPr>
              <w:t>Companions</w:t>
            </w:r>
          </w:p>
        </w:tc>
        <w:tc>
          <w:tcPr>
            <w:tcW w:type="dxa" w:w="6480"/>
            <w:tcMar>
              <w:top w:w="60" w:type="dxa"/>
              <w:left w:w="110" w:type="dxa"/>
              <w:bottom w:w="60" w:type="dxa"/>
              <w:right w:w="110" w:type="dxa"/>
            </w:tcMar>
            <w:vAlign w:val="top"/>
          </w:tcPr>
          <w:p>
            <w:pPr>
              <w:spacing w:after="20"/>
            </w:pPr>
            <w:r>
              <w:rPr>
                <w:sz w:val="19"/>
              </w:rPr>
              <w:t>EQR-02 (ODR engine) · EQR-06 (integration/API) · EQR-08 (payments) · EQR-12 (forms/schema) · EQR-14 (security)</w:t>
            </w:r>
          </w:p>
        </w:tc>
      </w:tr>
    </w:tbl>
    <w:p>
      <w:pPr>
        <w:spacing w:after="40"/>
      </w:pPr>
    </w:p>
    <w:p/>
    <w:p>
      <w:pPr>
        <w:pStyle w:val="Heading1"/>
      </w:pPr>
      <w:r>
        <w:t>Contents</w:t>
      </w:r>
    </w:p>
    <w:p>
      <w:r>
        <w:rPr>
          <w:color w:val="5A6B7B"/>
          <w:sz w:val="16"/>
        </w:rPr>
        <w:fldChar w:fldCharType="begin"/>
        <w:instrText xml:space="preserve">TOC \o "1-3" \h \z \u</w:instrText>
        <w:fldChar w:fldCharType="end"/>
      </w:r>
    </w:p>
    <w:p>
      <w:r>
        <w:rPr>
          <w:i/>
          <w:color w:val="5A6B7B"/>
          <w:sz w:val="17"/>
        </w:rPr>
        <w:t>(Right-click and choose “Update Field”, or press F9, to populate the table of contents.)</w:t>
      </w:r>
    </w:p>
    <w:p>
      <w:r>
        <w:br w:type="page"/>
      </w:r>
    </w:p>
    <w:p>
      <w:pPr>
        <w:pStyle w:val="Heading1"/>
      </w:pPr>
      <w:r>
        <w:t>1. Executive Summary</w:t>
      </w:r>
    </w:p>
    <w:p>
      <w:pPr>
        <w:pStyle w:val="Heading2"/>
      </w:pPr>
      <w:r>
        <w:t>1.1 What Equator Resolution does, in one screen</w:t>
      </w:r>
    </w:p>
    <w:p>
      <w:pPr>
        <w:spacing w:after="120"/>
      </w:pPr>
      <w:r>
        <w:rPr>
          <w:b w:val="0"/>
        </w:rPr>
        <w:t>Equator Resolution is an Online Dispute Resolution (ODR) platform and dispute-resolution institution. It lets any individual, business, lender or employer resolve a dispute end-to-end online — negotiation, mediation, conciliation and arbitration — with legally-enforceable outcomes, on one compliant, multi-tenant core. It combines six lines of business on shared rails: a managed institution (EDRS), neutral-facing Private ADR Courts, an enterprise dispute/grievance-escalation layer, an AI-assisted Dispute Explorer for pre-litigation triage, a payments-and-fees engine, and a separately-branded training arm, the Equator ADR Institute.</w:t>
      </w:r>
    </w:p>
    <w:p>
      <w:pPr>
        <w:spacing w:before="80" w:after="160"/>
        <w:jc w:val="center"/>
      </w:pPr>
      <w:r>
        <w:rPr>
          <w:b/>
          <w:i/>
          <w:color w:val="1F7A8C"/>
          <w:sz w:val="24"/>
        </w:rPr>
        <w:t>Resolve. Revolve. — settle the matter, and move on.</w:t>
      </w:r>
    </w:p>
    <w:p>
      <w:pPr>
        <w:spacing w:after="120"/>
      </w:pPr>
      <w:r>
        <w:rPr>
          <w:b w:val="0"/>
        </w:rPr>
        <w:t>The platform is designed around a simple promise to a party in dispute: file in minutes, understand your position honestly before you commit, meet online in your language, reach a settlement or a reasoned award, and have that outcome executed at ground level. For businesses, the same rails embed into their contracts and grievance channels so disputes are absorbed before they reach a court.</w:t>
      </w:r>
    </w:p>
    <w:p>
      <w:pPr>
        <w:pStyle w:val="Heading2"/>
      </w:pPr>
      <w:r>
        <w:t>1.2 The strategic thesis</w:t>
      </w:r>
    </w:p>
    <w:p>
      <w:pPr>
        <w:spacing w:after="120"/>
      </w:pPr>
      <w:r>
        <w:rPr>
          <w:b w:val="0"/>
        </w:rPr>
        <w:t>The Indian market no longer asks whether ODR works — regulators now mandate it (RBI for payment systems, NPCI for UPI, SEBI for securities, RBI Digital Lending grievance duties, the Mediation Act 2023 for institutional and online mediation). The unresolved question is who assembles the most complete, compliant, multi-segment platform. Equator's answer is to be both a deep vertical institution for high-trust and high-volume segments and horizontal infrastructure (Private Courts + API + Academy) that converts other neutrals into supply.</w:t>
      </w:r>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r>
              <w:rPr>
                <w:b/>
                <w:color w:val="0B2E4F"/>
                <w:sz w:val="19"/>
              </w:rPr>
              <w:t xml:space="preserve">Design stance.  </w:t>
            </w:r>
            <w:r>
              <w:rPr>
                <w:color w:val="1A1A1A"/>
                <w:sz w:val="19"/>
              </w:rPr>
              <w:t>Every capability is an API before it is a screen; every timeline, fee, panel and template is configuration, not code; every case carries a confidentiality tier and an immutable audit trail; AI assists but never decides. These four commitments make the platform multi-segment and multi-jurisdiction without a rewrite.</w:t>
            </w:r>
          </w:p>
        </w:tc>
      </w:tr>
    </w:tbl>
    <w:p>
      <w:pPr>
        <w:spacing w:after="40"/>
      </w:pPr>
    </w:p>
    <w:p>
      <w:pPr>
        <w:pStyle w:val="Heading1"/>
      </w:pPr>
      <w:r>
        <w:t>2. Market &amp; Regulatory Context (summary)</w:t>
      </w:r>
    </w:p>
    <w:p>
      <w:pPr>
        <w:spacing w:after="120"/>
      </w:pPr>
      <w:r>
        <w:rPr>
          <w:b w:val="0"/>
        </w:rPr>
        <w:t>This section is a synopsis; the full market analysis is in EQR-13 and the full legal framework in EQR-04. The platform must operate natively inside the Indian ADR statutory frame while remaining ready for cross-border work.</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3120"/>
        <w:gridCol w:w="3120"/>
        <w:gridCol w:w="3120"/>
      </w:tblGrid>
      <w:tr>
        <w:trPr>
          <w:tblHeader w:val="true"/>
        </w:trPr>
        <w:tc>
          <w:tcPr>
            <w:tcW w:type="dxa" w:w="2736"/>
            <w:shd w:val="clear" w:color="auto" w:fill="0B2E4F"/>
            <w:tcMar>
              <w:top w:w="60" w:type="dxa"/>
              <w:left w:w="110" w:type="dxa"/>
              <w:bottom w:w="60" w:type="dxa"/>
              <w:right w:w="110" w:type="dxa"/>
            </w:tcMar>
            <w:vAlign w:val="center"/>
          </w:tcPr>
          <w:p>
            <w:pPr>
              <w:spacing w:after="20"/>
            </w:pPr>
            <w:r>
              <w:rPr>
                <w:b/>
                <w:color w:val="FFFFFF"/>
                <w:sz w:val="18"/>
              </w:rPr>
              <w:t>Instrument</w:t>
            </w:r>
          </w:p>
        </w:tc>
        <w:tc>
          <w:tcPr>
            <w:tcW w:type="dxa" w:w="4464"/>
            <w:shd w:val="clear" w:color="auto" w:fill="0B2E4F"/>
            <w:tcMar>
              <w:top w:w="60" w:type="dxa"/>
              <w:left w:w="110" w:type="dxa"/>
              <w:bottom w:w="60" w:type="dxa"/>
              <w:right w:w="110" w:type="dxa"/>
            </w:tcMar>
            <w:vAlign w:val="center"/>
          </w:tcPr>
          <w:p>
            <w:pPr>
              <w:spacing w:after="20"/>
            </w:pPr>
            <w:r>
              <w:rPr>
                <w:b/>
                <w:color w:val="FFFFFF"/>
                <w:sz w:val="18"/>
              </w:rPr>
              <w:t>What the platform must encode</w:t>
            </w:r>
          </w:p>
        </w:tc>
        <w:tc>
          <w:tcPr>
            <w:tcW w:type="dxa" w:w="2160"/>
            <w:shd w:val="clear" w:color="auto" w:fill="0B2E4F"/>
            <w:tcMar>
              <w:top w:w="60" w:type="dxa"/>
              <w:left w:w="110" w:type="dxa"/>
              <w:bottom w:w="60" w:type="dxa"/>
              <w:right w:w="110" w:type="dxa"/>
            </w:tcMar>
            <w:vAlign w:val="center"/>
          </w:tcPr>
          <w:p>
            <w:pPr>
              <w:spacing w:after="20"/>
            </w:pPr>
            <w:r>
              <w:rPr>
                <w:b/>
                <w:color w:val="FFFFFF"/>
                <w:sz w:val="18"/>
              </w:rPr>
              <w:t>Where handled</w:t>
            </w:r>
          </w:p>
        </w:tc>
      </w:tr>
      <w:tr>
        <w:tc>
          <w:tcPr>
            <w:tcW w:type="dxa" w:w="2736"/>
            <w:tcMar>
              <w:top w:w="60" w:type="dxa"/>
              <w:left w:w="110" w:type="dxa"/>
              <w:bottom w:w="60" w:type="dxa"/>
              <w:right w:w="110" w:type="dxa"/>
            </w:tcMar>
            <w:vAlign w:val="top"/>
          </w:tcPr>
          <w:p>
            <w:pPr>
              <w:spacing w:after="20"/>
            </w:pPr>
            <w:r>
              <w:rPr>
                <w:b/>
                <w:sz w:val="18"/>
              </w:rPr>
              <w:t>Arbitration &amp; Conciliation Act 1996</w:t>
            </w:r>
          </w:p>
        </w:tc>
        <w:tc>
          <w:tcPr>
            <w:tcW w:type="dxa" w:w="4464"/>
            <w:tcMar>
              <w:top w:w="60" w:type="dxa"/>
              <w:left w:w="110" w:type="dxa"/>
              <w:bottom w:w="60" w:type="dxa"/>
              <w:right w:w="110" w:type="dxa"/>
            </w:tcMar>
            <w:vAlign w:val="top"/>
          </w:tcPr>
          <w:p>
            <w:pPr>
              <w:spacing w:after="20"/>
            </w:pPr>
            <w:r>
              <w:rPr>
                <w:sz w:val="18"/>
              </w:rPr>
              <w:t>Seat/venue, arbitrability, tribunal constitution, S.29A award clock, S.34 challenge, S.36 execution</w:t>
            </w:r>
          </w:p>
        </w:tc>
        <w:tc>
          <w:tcPr>
            <w:tcW w:type="dxa" w:w="2160"/>
            <w:tcMar>
              <w:top w:w="60" w:type="dxa"/>
              <w:left w:w="110" w:type="dxa"/>
              <w:bottom w:w="60" w:type="dxa"/>
              <w:right w:w="110" w:type="dxa"/>
            </w:tcMar>
            <w:vAlign w:val="top"/>
          </w:tcPr>
          <w:p>
            <w:pPr>
              <w:spacing w:after="20"/>
            </w:pPr>
            <w:r>
              <w:rPr>
                <w:sz w:val="18"/>
              </w:rPr>
              <w:t>EQR-02, EQR-04</w:t>
            </w:r>
          </w:p>
        </w:tc>
      </w:tr>
      <w:tr>
        <w:tc>
          <w:tcPr>
            <w:tcW w:type="dxa" w:w="2736"/>
            <w:shd w:val="clear" w:color="auto" w:fill="EAF1F6"/>
            <w:tcMar>
              <w:top w:w="60" w:type="dxa"/>
              <w:left w:w="110" w:type="dxa"/>
              <w:bottom w:w="60" w:type="dxa"/>
              <w:right w:w="110" w:type="dxa"/>
            </w:tcMar>
            <w:vAlign w:val="top"/>
          </w:tcPr>
          <w:p>
            <w:pPr>
              <w:spacing w:after="20"/>
            </w:pPr>
            <w:r>
              <w:rPr>
                <w:b/>
                <w:sz w:val="18"/>
              </w:rPr>
              <w:t>Mediation Act 2023</w:t>
            </w:r>
          </w:p>
        </w:tc>
        <w:tc>
          <w:tcPr>
            <w:tcW w:type="dxa" w:w="4464"/>
            <w:shd w:val="clear" w:color="auto" w:fill="EAF1F6"/>
            <w:tcMar>
              <w:top w:w="60" w:type="dxa"/>
              <w:left w:w="110" w:type="dxa"/>
              <w:bottom w:w="60" w:type="dxa"/>
              <w:right w:w="110" w:type="dxa"/>
            </w:tcMar>
            <w:vAlign w:val="top"/>
          </w:tcPr>
          <w:p>
            <w:pPr>
              <w:spacing w:after="20"/>
            </w:pPr>
            <w:r>
              <w:rPr>
                <w:sz w:val="18"/>
              </w:rPr>
              <w:t>Institutional/online mediation, time-bound process, MSA authentication, S.27 enforcement, S.28 challenge</w:t>
            </w:r>
          </w:p>
        </w:tc>
        <w:tc>
          <w:tcPr>
            <w:tcW w:type="dxa" w:w="2160"/>
            <w:shd w:val="clear" w:color="auto" w:fill="EAF1F6"/>
            <w:tcMar>
              <w:top w:w="60" w:type="dxa"/>
              <w:left w:w="110" w:type="dxa"/>
              <w:bottom w:w="60" w:type="dxa"/>
              <w:right w:w="110" w:type="dxa"/>
            </w:tcMar>
            <w:vAlign w:val="top"/>
          </w:tcPr>
          <w:p>
            <w:pPr>
              <w:spacing w:after="20"/>
            </w:pPr>
            <w:r>
              <w:rPr>
                <w:sz w:val="18"/>
              </w:rPr>
              <w:t>EQR-02, EQR-04</w:t>
            </w:r>
          </w:p>
        </w:tc>
      </w:tr>
      <w:tr>
        <w:tc>
          <w:tcPr>
            <w:tcW w:type="dxa" w:w="2736"/>
            <w:tcMar>
              <w:top w:w="60" w:type="dxa"/>
              <w:left w:w="110" w:type="dxa"/>
              <w:bottom w:w="60" w:type="dxa"/>
              <w:right w:w="110" w:type="dxa"/>
            </w:tcMar>
            <w:vAlign w:val="top"/>
          </w:tcPr>
          <w:p>
            <w:pPr>
              <w:spacing w:after="20"/>
            </w:pPr>
            <w:r>
              <w:rPr>
                <w:b/>
                <w:sz w:val="18"/>
              </w:rPr>
              <w:t>MSMED Act 2006 (S.18)</w:t>
            </w:r>
          </w:p>
        </w:tc>
        <w:tc>
          <w:tcPr>
            <w:tcW w:type="dxa" w:w="4464"/>
            <w:tcMar>
              <w:top w:w="60" w:type="dxa"/>
              <w:left w:w="110" w:type="dxa"/>
              <w:bottom w:w="60" w:type="dxa"/>
              <w:right w:w="110" w:type="dxa"/>
            </w:tcMar>
            <w:vAlign w:val="top"/>
          </w:tcPr>
          <w:p>
            <w:pPr>
              <w:spacing w:after="20"/>
            </w:pPr>
            <w:r>
              <w:rPr>
                <w:sz w:val="18"/>
              </w:rPr>
              <w:t>MSEFC conciliation→arbitration, Samadhaan reference, 75% pre-deposit to challenge</w:t>
            </w:r>
          </w:p>
        </w:tc>
        <w:tc>
          <w:tcPr>
            <w:tcW w:type="dxa" w:w="2160"/>
            <w:tcMar>
              <w:top w:w="60" w:type="dxa"/>
              <w:left w:w="110" w:type="dxa"/>
              <w:bottom w:w="60" w:type="dxa"/>
              <w:right w:w="110" w:type="dxa"/>
            </w:tcMar>
            <w:vAlign w:val="top"/>
          </w:tcPr>
          <w:p>
            <w:pPr>
              <w:spacing w:after="20"/>
            </w:pPr>
            <w:r>
              <w:rPr>
                <w:sz w:val="18"/>
              </w:rPr>
              <w:t>EQR-03, EQR-04</w:t>
            </w:r>
          </w:p>
        </w:tc>
      </w:tr>
      <w:tr>
        <w:tc>
          <w:tcPr>
            <w:tcW w:type="dxa" w:w="2736"/>
            <w:shd w:val="clear" w:color="auto" w:fill="EAF1F6"/>
            <w:tcMar>
              <w:top w:w="60" w:type="dxa"/>
              <w:left w:w="110" w:type="dxa"/>
              <w:bottom w:w="60" w:type="dxa"/>
              <w:right w:w="110" w:type="dxa"/>
            </w:tcMar>
            <w:vAlign w:val="top"/>
          </w:tcPr>
          <w:p>
            <w:pPr>
              <w:spacing w:after="20"/>
            </w:pPr>
            <w:r>
              <w:rPr>
                <w:b/>
                <w:sz w:val="18"/>
              </w:rPr>
              <w:t>Commercial Courts Act 2015</w:t>
            </w:r>
          </w:p>
        </w:tc>
        <w:tc>
          <w:tcPr>
            <w:tcW w:type="dxa" w:w="4464"/>
            <w:shd w:val="clear" w:color="auto" w:fill="EAF1F6"/>
            <w:tcMar>
              <w:top w:w="60" w:type="dxa"/>
              <w:left w:w="110" w:type="dxa"/>
              <w:bottom w:w="60" w:type="dxa"/>
              <w:right w:w="110" w:type="dxa"/>
            </w:tcMar>
            <w:vAlign w:val="top"/>
          </w:tcPr>
          <w:p>
            <w:pPr>
              <w:spacing w:after="20"/>
            </w:pPr>
            <w:r>
              <w:rPr>
                <w:sz w:val="18"/>
              </w:rPr>
              <w:t>Pre-institution mediation (S.12A), commercial-dispute thresholds</w:t>
            </w:r>
          </w:p>
        </w:tc>
        <w:tc>
          <w:tcPr>
            <w:tcW w:type="dxa" w:w="2160"/>
            <w:shd w:val="clear" w:color="auto" w:fill="EAF1F6"/>
            <w:tcMar>
              <w:top w:w="60" w:type="dxa"/>
              <w:left w:w="110" w:type="dxa"/>
              <w:bottom w:w="60" w:type="dxa"/>
              <w:right w:w="110" w:type="dxa"/>
            </w:tcMar>
            <w:vAlign w:val="top"/>
          </w:tcPr>
          <w:p>
            <w:pPr>
              <w:spacing w:after="20"/>
            </w:pPr>
            <w:r>
              <w:rPr>
                <w:sz w:val="18"/>
              </w:rPr>
              <w:t>EQR-03, EQR-04</w:t>
            </w:r>
          </w:p>
        </w:tc>
      </w:tr>
      <w:tr>
        <w:tc>
          <w:tcPr>
            <w:tcW w:type="dxa" w:w="2736"/>
            <w:tcMar>
              <w:top w:w="60" w:type="dxa"/>
              <w:left w:w="110" w:type="dxa"/>
              <w:bottom w:w="60" w:type="dxa"/>
              <w:right w:w="110" w:type="dxa"/>
            </w:tcMar>
            <w:vAlign w:val="top"/>
          </w:tcPr>
          <w:p>
            <w:pPr>
              <w:spacing w:after="20"/>
            </w:pPr>
            <w:r>
              <w:rPr>
                <w:b/>
                <w:sz w:val="18"/>
              </w:rPr>
              <w:t>Consumer Protection Act 2019</w:t>
            </w:r>
          </w:p>
        </w:tc>
        <w:tc>
          <w:tcPr>
            <w:tcW w:type="dxa" w:w="4464"/>
            <w:tcMar>
              <w:top w:w="60" w:type="dxa"/>
              <w:left w:w="110" w:type="dxa"/>
              <w:bottom w:w="60" w:type="dxa"/>
              <w:right w:w="110" w:type="dxa"/>
            </w:tcMar>
            <w:vAlign w:val="top"/>
          </w:tcPr>
          <w:p>
            <w:pPr>
              <w:spacing w:after="20"/>
            </w:pPr>
            <w:r>
              <w:rPr>
                <w:sz w:val="18"/>
              </w:rPr>
              <w:t>Consumer mediation cells, e-Daakhil interoperability</w:t>
            </w:r>
          </w:p>
        </w:tc>
        <w:tc>
          <w:tcPr>
            <w:tcW w:type="dxa" w:w="2160"/>
            <w:tcMar>
              <w:top w:w="60" w:type="dxa"/>
              <w:left w:w="110" w:type="dxa"/>
              <w:bottom w:w="60" w:type="dxa"/>
              <w:right w:w="110" w:type="dxa"/>
            </w:tcMar>
            <w:vAlign w:val="top"/>
          </w:tcPr>
          <w:p>
            <w:pPr>
              <w:spacing w:after="20"/>
            </w:pPr>
            <w:r>
              <w:rPr>
                <w:sz w:val="18"/>
              </w:rPr>
              <w:t>EQR-03, EQR-04</w:t>
            </w:r>
          </w:p>
        </w:tc>
      </w:tr>
      <w:tr>
        <w:tc>
          <w:tcPr>
            <w:tcW w:type="dxa" w:w="2736"/>
            <w:shd w:val="clear" w:color="auto" w:fill="EAF1F6"/>
            <w:tcMar>
              <w:top w:w="60" w:type="dxa"/>
              <w:left w:w="110" w:type="dxa"/>
              <w:bottom w:w="60" w:type="dxa"/>
              <w:right w:w="110" w:type="dxa"/>
            </w:tcMar>
            <w:vAlign w:val="top"/>
          </w:tcPr>
          <w:p>
            <w:pPr>
              <w:spacing w:after="20"/>
            </w:pPr>
            <w:r>
              <w:rPr>
                <w:b/>
                <w:sz w:val="18"/>
              </w:rPr>
              <w:t>SEBI SMART ODR / SCORES</w:t>
            </w:r>
          </w:p>
        </w:tc>
        <w:tc>
          <w:tcPr>
            <w:tcW w:type="dxa" w:w="4464"/>
            <w:shd w:val="clear" w:color="auto" w:fill="EAF1F6"/>
            <w:tcMar>
              <w:top w:w="60" w:type="dxa"/>
              <w:left w:w="110" w:type="dxa"/>
              <w:bottom w:w="60" w:type="dxa"/>
              <w:right w:w="110" w:type="dxa"/>
            </w:tcMar>
            <w:vAlign w:val="top"/>
          </w:tcPr>
          <w:p>
            <w:pPr>
              <w:spacing w:after="20"/>
            </w:pPr>
            <w:r>
              <w:rPr>
                <w:sz w:val="18"/>
              </w:rPr>
              <w:t>Mandatory pre-conciliation→conciliation→arbitration, statutory clocks, MII/intermediary SSO</w:t>
            </w:r>
          </w:p>
        </w:tc>
        <w:tc>
          <w:tcPr>
            <w:tcW w:type="dxa" w:w="2160"/>
            <w:shd w:val="clear" w:color="auto" w:fill="EAF1F6"/>
            <w:tcMar>
              <w:top w:w="60" w:type="dxa"/>
              <w:left w:w="110" w:type="dxa"/>
              <w:bottom w:w="60" w:type="dxa"/>
              <w:right w:w="110" w:type="dxa"/>
            </w:tcMar>
            <w:vAlign w:val="top"/>
          </w:tcPr>
          <w:p>
            <w:pPr>
              <w:spacing w:after="20"/>
            </w:pPr>
            <w:r>
              <w:rPr>
                <w:sz w:val="18"/>
              </w:rPr>
              <w:t>EQR-03, EQR-06</w:t>
            </w:r>
          </w:p>
        </w:tc>
      </w:tr>
      <w:tr>
        <w:tc>
          <w:tcPr>
            <w:tcW w:type="dxa" w:w="2736"/>
            <w:tcMar>
              <w:top w:w="60" w:type="dxa"/>
              <w:left w:w="110" w:type="dxa"/>
              <w:bottom w:w="60" w:type="dxa"/>
              <w:right w:w="110" w:type="dxa"/>
            </w:tcMar>
            <w:vAlign w:val="top"/>
          </w:tcPr>
          <w:p>
            <w:pPr>
              <w:spacing w:after="20"/>
            </w:pPr>
            <w:r>
              <w:rPr>
                <w:b/>
                <w:sz w:val="18"/>
              </w:rPr>
              <w:t>DPDP Act 2023 + Rules 2025</w:t>
            </w:r>
          </w:p>
        </w:tc>
        <w:tc>
          <w:tcPr>
            <w:tcW w:type="dxa" w:w="4464"/>
            <w:tcMar>
              <w:top w:w="60" w:type="dxa"/>
              <w:left w:w="110" w:type="dxa"/>
              <w:bottom w:w="60" w:type="dxa"/>
              <w:right w:w="110" w:type="dxa"/>
            </w:tcMar>
            <w:vAlign w:val="top"/>
          </w:tcPr>
          <w:p>
            <w:pPr>
              <w:spacing w:after="20"/>
            </w:pPr>
            <w:r>
              <w:rPr>
                <w:sz w:val="18"/>
              </w:rPr>
              <w:t>Consent, 72-hour breach reporting, SDF duties, 7-yr records, data residency</w:t>
            </w:r>
          </w:p>
        </w:tc>
        <w:tc>
          <w:tcPr>
            <w:tcW w:type="dxa" w:w="2160"/>
            <w:tcMar>
              <w:top w:w="60" w:type="dxa"/>
              <w:left w:w="110" w:type="dxa"/>
              <w:bottom w:w="60" w:type="dxa"/>
              <w:right w:w="110" w:type="dxa"/>
            </w:tcMar>
            <w:vAlign w:val="top"/>
          </w:tcPr>
          <w:p>
            <w:pPr>
              <w:spacing w:after="20"/>
            </w:pPr>
            <w:r>
              <w:rPr>
                <w:sz w:val="18"/>
              </w:rPr>
              <w:t>EQR-14</w:t>
            </w:r>
          </w:p>
        </w:tc>
      </w:tr>
      <w:tr>
        <w:tc>
          <w:tcPr>
            <w:tcW w:type="dxa" w:w="2736"/>
            <w:shd w:val="clear" w:color="auto" w:fill="EAF1F6"/>
            <w:tcMar>
              <w:top w:w="60" w:type="dxa"/>
              <w:left w:w="110" w:type="dxa"/>
              <w:bottom w:w="60" w:type="dxa"/>
              <w:right w:w="110" w:type="dxa"/>
            </w:tcMar>
            <w:vAlign w:val="top"/>
          </w:tcPr>
          <w:p>
            <w:pPr>
              <w:spacing w:after="20"/>
            </w:pPr>
            <w:r>
              <w:rPr>
                <w:b/>
                <w:sz w:val="18"/>
              </w:rPr>
              <w:t>Singapore Convention / New York Convention</w:t>
            </w:r>
          </w:p>
        </w:tc>
        <w:tc>
          <w:tcPr>
            <w:tcW w:type="dxa" w:w="4464"/>
            <w:shd w:val="clear" w:color="auto" w:fill="EAF1F6"/>
            <w:tcMar>
              <w:top w:w="60" w:type="dxa"/>
              <w:left w:w="110" w:type="dxa"/>
              <w:bottom w:w="60" w:type="dxa"/>
              <w:right w:w="110" w:type="dxa"/>
            </w:tcMar>
            <w:vAlign w:val="top"/>
          </w:tcPr>
          <w:p>
            <w:pPr>
              <w:spacing w:after="20"/>
            </w:pPr>
            <w:r>
              <w:rPr>
                <w:sz w:val="18"/>
              </w:rPr>
              <w:t>Cross-border mediated-settlement &amp; award provenance and packaging</w:t>
            </w:r>
          </w:p>
        </w:tc>
        <w:tc>
          <w:tcPr>
            <w:tcW w:type="dxa" w:w="2160"/>
            <w:shd w:val="clear" w:color="auto" w:fill="EAF1F6"/>
            <w:tcMar>
              <w:top w:w="60" w:type="dxa"/>
              <w:left w:w="110" w:type="dxa"/>
              <w:bottom w:w="60" w:type="dxa"/>
              <w:right w:w="110" w:type="dxa"/>
            </w:tcMar>
            <w:vAlign w:val="top"/>
          </w:tcPr>
          <w:p>
            <w:pPr>
              <w:spacing w:after="20"/>
            </w:pPr>
            <w:r>
              <w:rPr>
                <w:sz w:val="18"/>
              </w:rPr>
              <w:t>EQR-04</w:t>
            </w:r>
          </w:p>
        </w:tc>
      </w:tr>
    </w:tbl>
    <w:p>
      <w:pPr>
        <w:spacing w:after="40"/>
      </w:pPr>
    </w:p>
    <w:p>
      <w:pPr>
        <w:pStyle w:val="Heading1"/>
      </w:pPr>
      <w:r>
        <w:t>3. Business Architecture</w:t>
      </w:r>
    </w:p>
    <w:p>
      <w:pPr>
        <w:pStyle w:val="Heading2"/>
      </w:pPr>
      <w:r>
        <w:t>3.1 Lines of business (LOBs)</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2340"/>
        <w:gridCol w:w="2340"/>
        <w:gridCol w:w="2340"/>
        <w:gridCol w:w="2340"/>
      </w:tblGrid>
      <w:tr>
        <w:trPr>
          <w:tblHeader w:val="true"/>
        </w:trPr>
        <w:tc>
          <w:tcPr>
            <w:tcW w:type="dxa" w:w="576"/>
            <w:shd w:val="clear" w:color="auto" w:fill="0B2E4F"/>
            <w:tcMar>
              <w:top w:w="60" w:type="dxa"/>
              <w:left w:w="110" w:type="dxa"/>
              <w:bottom w:w="60" w:type="dxa"/>
              <w:right w:w="110" w:type="dxa"/>
            </w:tcMar>
            <w:vAlign w:val="center"/>
          </w:tcPr>
          <w:p>
            <w:pPr>
              <w:spacing w:after="20"/>
            </w:pPr>
            <w:r>
              <w:rPr>
                <w:b/>
                <w:color w:val="FFFFFF"/>
                <w:sz w:val="18"/>
              </w:rPr>
              <w:t>#</w:t>
            </w:r>
          </w:p>
        </w:tc>
        <w:tc>
          <w:tcPr>
            <w:tcW w:type="dxa" w:w="3744"/>
            <w:shd w:val="clear" w:color="auto" w:fill="0B2E4F"/>
            <w:tcMar>
              <w:top w:w="60" w:type="dxa"/>
              <w:left w:w="110" w:type="dxa"/>
              <w:bottom w:w="60" w:type="dxa"/>
              <w:right w:w="110" w:type="dxa"/>
            </w:tcMar>
            <w:vAlign w:val="center"/>
          </w:tcPr>
          <w:p>
            <w:pPr>
              <w:spacing w:after="20"/>
            </w:pPr>
            <w:r>
              <w:rPr>
                <w:b/>
                <w:color w:val="FFFFFF"/>
                <w:sz w:val="18"/>
              </w:rPr>
              <w:t>Line of business</w:t>
            </w:r>
          </w:p>
        </w:tc>
        <w:tc>
          <w:tcPr>
            <w:tcW w:type="dxa" w:w="2880"/>
            <w:shd w:val="clear" w:color="auto" w:fill="0B2E4F"/>
            <w:tcMar>
              <w:top w:w="60" w:type="dxa"/>
              <w:left w:w="110" w:type="dxa"/>
              <w:bottom w:w="60" w:type="dxa"/>
              <w:right w:w="110" w:type="dxa"/>
            </w:tcMar>
            <w:vAlign w:val="center"/>
          </w:tcPr>
          <w:p>
            <w:pPr>
              <w:spacing w:after="20"/>
            </w:pPr>
            <w:r>
              <w:rPr>
                <w:b/>
                <w:color w:val="FFFFFF"/>
                <w:sz w:val="18"/>
              </w:rPr>
              <w:t>Revenue model</w:t>
            </w:r>
          </w:p>
        </w:tc>
        <w:tc>
          <w:tcPr>
            <w:tcW w:type="dxa" w:w="2160"/>
            <w:shd w:val="clear" w:color="auto" w:fill="0B2E4F"/>
            <w:tcMar>
              <w:top w:w="60" w:type="dxa"/>
              <w:left w:w="110" w:type="dxa"/>
              <w:bottom w:w="60" w:type="dxa"/>
              <w:right w:w="110" w:type="dxa"/>
            </w:tcMar>
            <w:vAlign w:val="center"/>
          </w:tcPr>
          <w:p>
            <w:pPr>
              <w:spacing w:after="20"/>
            </w:pPr>
            <w:r>
              <w:rPr>
                <w:b/>
                <w:color w:val="FFFFFF"/>
                <w:sz w:val="18"/>
              </w:rPr>
              <w:t>Customer</w:t>
            </w:r>
          </w:p>
        </w:tc>
      </w:tr>
      <w:tr>
        <w:tc>
          <w:tcPr>
            <w:tcW w:type="dxa" w:w="576"/>
            <w:tcMar>
              <w:top w:w="60" w:type="dxa"/>
              <w:left w:w="110" w:type="dxa"/>
              <w:bottom w:w="60" w:type="dxa"/>
              <w:right w:w="110" w:type="dxa"/>
            </w:tcMar>
            <w:vAlign w:val="top"/>
          </w:tcPr>
          <w:p>
            <w:pPr>
              <w:spacing w:after="20"/>
            </w:pPr>
            <w:r>
              <w:rPr>
                <w:b/>
                <w:sz w:val="18"/>
              </w:rPr>
              <w:t>1</w:t>
            </w:r>
          </w:p>
        </w:tc>
        <w:tc>
          <w:tcPr>
            <w:tcW w:type="dxa" w:w="3744"/>
            <w:tcMar>
              <w:top w:w="60" w:type="dxa"/>
              <w:left w:w="110" w:type="dxa"/>
              <w:bottom w:w="60" w:type="dxa"/>
              <w:right w:w="110" w:type="dxa"/>
            </w:tcMar>
            <w:vAlign w:val="top"/>
          </w:tcPr>
          <w:p>
            <w:pPr>
              <w:spacing w:after="20"/>
            </w:pPr>
            <w:r>
              <w:rPr>
                <w:sz w:val="18"/>
              </w:rPr>
              <w:t>EDRS — Equator-administered cases (family, NBFC, commercial, consumer, securities)</w:t>
            </w:r>
          </w:p>
        </w:tc>
        <w:tc>
          <w:tcPr>
            <w:tcW w:type="dxa" w:w="2880"/>
            <w:tcMar>
              <w:top w:w="60" w:type="dxa"/>
              <w:left w:w="110" w:type="dxa"/>
              <w:bottom w:w="60" w:type="dxa"/>
              <w:right w:w="110" w:type="dxa"/>
            </w:tcMar>
            <w:vAlign w:val="top"/>
          </w:tcPr>
          <w:p>
            <w:pPr>
              <w:spacing w:after="20"/>
            </w:pPr>
            <w:r>
              <w:rPr>
                <w:sz w:val="18"/>
              </w:rPr>
              <w:t>Case/filing fees, success fees, panel admin fees</w:t>
            </w:r>
          </w:p>
        </w:tc>
        <w:tc>
          <w:tcPr>
            <w:tcW w:type="dxa" w:w="2160"/>
            <w:tcMar>
              <w:top w:w="60" w:type="dxa"/>
              <w:left w:w="110" w:type="dxa"/>
              <w:bottom w:w="60" w:type="dxa"/>
              <w:right w:w="110" w:type="dxa"/>
            </w:tcMar>
            <w:vAlign w:val="top"/>
          </w:tcPr>
          <w:p>
            <w:pPr>
              <w:spacing w:after="20"/>
            </w:pPr>
            <w:r>
              <w:rPr>
                <w:sz w:val="18"/>
              </w:rPr>
              <w:t>Parties (first-party institution)</w:t>
            </w:r>
          </w:p>
        </w:tc>
      </w:tr>
      <w:tr>
        <w:tc>
          <w:tcPr>
            <w:tcW w:type="dxa" w:w="576"/>
            <w:shd w:val="clear" w:color="auto" w:fill="EAF1F6"/>
            <w:tcMar>
              <w:top w:w="60" w:type="dxa"/>
              <w:left w:w="110" w:type="dxa"/>
              <w:bottom w:w="60" w:type="dxa"/>
              <w:right w:w="110" w:type="dxa"/>
            </w:tcMar>
            <w:vAlign w:val="top"/>
          </w:tcPr>
          <w:p>
            <w:pPr>
              <w:spacing w:after="20"/>
            </w:pPr>
            <w:r>
              <w:rPr>
                <w:b/>
                <w:sz w:val="18"/>
              </w:rPr>
              <w:t>2</w:t>
            </w:r>
          </w:p>
        </w:tc>
        <w:tc>
          <w:tcPr>
            <w:tcW w:type="dxa" w:w="3744"/>
            <w:shd w:val="clear" w:color="auto" w:fill="EAF1F6"/>
            <w:tcMar>
              <w:top w:w="60" w:type="dxa"/>
              <w:left w:w="110" w:type="dxa"/>
              <w:bottom w:w="60" w:type="dxa"/>
              <w:right w:w="110" w:type="dxa"/>
            </w:tcMar>
            <w:vAlign w:val="top"/>
          </w:tcPr>
          <w:p>
            <w:pPr>
              <w:spacing w:after="20"/>
            </w:pPr>
            <w:r>
              <w:rPr>
                <w:sz w:val="18"/>
              </w:rPr>
              <w:t>Private ADR Court (SaaS for neutrals &amp; institutions)</w:t>
            </w:r>
          </w:p>
        </w:tc>
        <w:tc>
          <w:tcPr>
            <w:tcW w:type="dxa" w:w="2880"/>
            <w:shd w:val="clear" w:color="auto" w:fill="EAF1F6"/>
            <w:tcMar>
              <w:top w:w="60" w:type="dxa"/>
              <w:left w:w="110" w:type="dxa"/>
              <w:bottom w:w="60" w:type="dxa"/>
              <w:right w:w="110" w:type="dxa"/>
            </w:tcMar>
            <w:vAlign w:val="top"/>
          </w:tcPr>
          <w:p>
            <w:pPr>
              <w:spacing w:after="20"/>
            </w:pPr>
            <w:r>
              <w:rPr>
                <w:sz w:val="18"/>
              </w:rPr>
              <w:t>Subscription + per-case fee + add-ons</w:t>
            </w:r>
          </w:p>
        </w:tc>
        <w:tc>
          <w:tcPr>
            <w:tcW w:type="dxa" w:w="2160"/>
            <w:shd w:val="clear" w:color="auto" w:fill="EAF1F6"/>
            <w:tcMar>
              <w:top w:w="60" w:type="dxa"/>
              <w:left w:w="110" w:type="dxa"/>
              <w:bottom w:w="60" w:type="dxa"/>
              <w:right w:w="110" w:type="dxa"/>
            </w:tcMar>
            <w:vAlign w:val="top"/>
          </w:tcPr>
          <w:p>
            <w:pPr>
              <w:spacing w:after="20"/>
            </w:pPr>
            <w:r>
              <w:rPr>
                <w:sz w:val="18"/>
              </w:rPr>
              <w:t>Neutral / external institution</w:t>
            </w:r>
          </w:p>
        </w:tc>
      </w:tr>
      <w:tr>
        <w:tc>
          <w:tcPr>
            <w:tcW w:type="dxa" w:w="576"/>
            <w:tcMar>
              <w:top w:w="60" w:type="dxa"/>
              <w:left w:w="110" w:type="dxa"/>
              <w:bottom w:w="60" w:type="dxa"/>
              <w:right w:w="110" w:type="dxa"/>
            </w:tcMar>
            <w:vAlign w:val="top"/>
          </w:tcPr>
          <w:p>
            <w:pPr>
              <w:spacing w:after="20"/>
            </w:pPr>
            <w:r>
              <w:rPr>
                <w:b/>
                <w:sz w:val="18"/>
              </w:rPr>
              <w:t>3</w:t>
            </w:r>
          </w:p>
        </w:tc>
        <w:tc>
          <w:tcPr>
            <w:tcW w:type="dxa" w:w="3744"/>
            <w:tcMar>
              <w:top w:w="60" w:type="dxa"/>
              <w:left w:w="110" w:type="dxa"/>
              <w:bottom w:w="60" w:type="dxa"/>
              <w:right w:w="110" w:type="dxa"/>
            </w:tcMar>
            <w:vAlign w:val="top"/>
          </w:tcPr>
          <w:p>
            <w:pPr>
              <w:spacing w:after="20"/>
            </w:pPr>
            <w:r>
              <w:rPr>
                <w:sz w:val="18"/>
              </w:rPr>
              <w:t>Enterprise Dispute Resolution (clause-embedded, B2B)</w:t>
            </w:r>
          </w:p>
        </w:tc>
        <w:tc>
          <w:tcPr>
            <w:tcW w:type="dxa" w:w="2880"/>
            <w:tcMar>
              <w:top w:w="60" w:type="dxa"/>
              <w:left w:w="110" w:type="dxa"/>
              <w:bottom w:w="60" w:type="dxa"/>
              <w:right w:w="110" w:type="dxa"/>
            </w:tcMar>
            <w:vAlign w:val="top"/>
          </w:tcPr>
          <w:p>
            <w:pPr>
              <w:spacing w:after="20"/>
            </w:pPr>
            <w:r>
              <w:rPr>
                <w:sz w:val="18"/>
              </w:rPr>
              <w:t>Annual contract + per-case</w:t>
            </w:r>
          </w:p>
        </w:tc>
        <w:tc>
          <w:tcPr>
            <w:tcW w:type="dxa" w:w="2160"/>
            <w:tcMar>
              <w:top w:w="60" w:type="dxa"/>
              <w:left w:w="110" w:type="dxa"/>
              <w:bottom w:w="60" w:type="dxa"/>
              <w:right w:w="110" w:type="dxa"/>
            </w:tcMar>
            <w:vAlign w:val="top"/>
          </w:tcPr>
          <w:p>
            <w:pPr>
              <w:spacing w:after="20"/>
            </w:pPr>
            <w:r>
              <w:rPr>
                <w:sz w:val="18"/>
              </w:rPr>
              <w:t>Company (customer-facing disputes)</w:t>
            </w:r>
          </w:p>
        </w:tc>
      </w:tr>
      <w:tr>
        <w:tc>
          <w:tcPr>
            <w:tcW w:type="dxa" w:w="576"/>
            <w:shd w:val="clear" w:color="auto" w:fill="EAF1F6"/>
            <w:tcMar>
              <w:top w:w="60" w:type="dxa"/>
              <w:left w:w="110" w:type="dxa"/>
              <w:bottom w:w="60" w:type="dxa"/>
              <w:right w:w="110" w:type="dxa"/>
            </w:tcMar>
            <w:vAlign w:val="top"/>
          </w:tcPr>
          <w:p>
            <w:pPr>
              <w:spacing w:after="20"/>
            </w:pPr>
            <w:r>
              <w:rPr>
                <w:b/>
                <w:sz w:val="18"/>
              </w:rPr>
              <w:t>4</w:t>
            </w:r>
          </w:p>
        </w:tc>
        <w:tc>
          <w:tcPr>
            <w:tcW w:type="dxa" w:w="3744"/>
            <w:shd w:val="clear" w:color="auto" w:fill="EAF1F6"/>
            <w:tcMar>
              <w:top w:w="60" w:type="dxa"/>
              <w:left w:w="110" w:type="dxa"/>
              <w:bottom w:w="60" w:type="dxa"/>
              <w:right w:w="110" w:type="dxa"/>
            </w:tcMar>
            <w:vAlign w:val="top"/>
          </w:tcPr>
          <w:p>
            <w:pPr>
              <w:spacing w:after="20"/>
            </w:pPr>
            <w:r>
              <w:rPr>
                <w:sz w:val="18"/>
              </w:rPr>
              <w:t>Enterprise Grievance &amp; POSH</w:t>
            </w:r>
          </w:p>
        </w:tc>
        <w:tc>
          <w:tcPr>
            <w:tcW w:type="dxa" w:w="2880"/>
            <w:shd w:val="clear" w:color="auto" w:fill="EAF1F6"/>
            <w:tcMar>
              <w:top w:w="60" w:type="dxa"/>
              <w:left w:w="110" w:type="dxa"/>
              <w:bottom w:w="60" w:type="dxa"/>
              <w:right w:w="110" w:type="dxa"/>
            </w:tcMar>
            <w:vAlign w:val="top"/>
          </w:tcPr>
          <w:p>
            <w:pPr>
              <w:spacing w:after="20"/>
            </w:pPr>
            <w:r>
              <w:rPr>
                <w:sz w:val="18"/>
              </w:rPr>
              <w:t>Per-seat / per-entity SaaS + escalation fees</w:t>
            </w:r>
          </w:p>
        </w:tc>
        <w:tc>
          <w:tcPr>
            <w:tcW w:type="dxa" w:w="2160"/>
            <w:shd w:val="clear" w:color="auto" w:fill="EAF1F6"/>
            <w:tcMar>
              <w:top w:w="60" w:type="dxa"/>
              <w:left w:w="110" w:type="dxa"/>
              <w:bottom w:w="60" w:type="dxa"/>
              <w:right w:w="110" w:type="dxa"/>
            </w:tcMar>
            <w:vAlign w:val="top"/>
          </w:tcPr>
          <w:p>
            <w:pPr>
              <w:spacing w:after="20"/>
            </w:pPr>
            <w:r>
              <w:rPr>
                <w:sz w:val="18"/>
              </w:rPr>
              <w:t>Company (employee-facing)</w:t>
            </w:r>
          </w:p>
        </w:tc>
      </w:tr>
      <w:tr>
        <w:tc>
          <w:tcPr>
            <w:tcW w:type="dxa" w:w="576"/>
            <w:tcMar>
              <w:top w:w="60" w:type="dxa"/>
              <w:left w:w="110" w:type="dxa"/>
              <w:bottom w:w="60" w:type="dxa"/>
              <w:right w:w="110" w:type="dxa"/>
            </w:tcMar>
            <w:vAlign w:val="top"/>
          </w:tcPr>
          <w:p>
            <w:pPr>
              <w:spacing w:after="20"/>
            </w:pPr>
            <w:r>
              <w:rPr>
                <w:b/>
                <w:sz w:val="18"/>
              </w:rPr>
              <w:t>5</w:t>
            </w:r>
          </w:p>
        </w:tc>
        <w:tc>
          <w:tcPr>
            <w:tcW w:type="dxa" w:w="3744"/>
            <w:tcMar>
              <w:top w:w="60" w:type="dxa"/>
              <w:left w:w="110" w:type="dxa"/>
              <w:bottom w:w="60" w:type="dxa"/>
              <w:right w:w="110" w:type="dxa"/>
            </w:tcMar>
            <w:vAlign w:val="top"/>
          </w:tcPr>
          <w:p>
            <w:pPr>
              <w:spacing w:after="20"/>
            </w:pPr>
            <w:r>
              <w:rPr>
                <w:sz w:val="18"/>
              </w:rPr>
              <w:t>Equator ADR Institute (training &amp; certification)</w:t>
            </w:r>
          </w:p>
        </w:tc>
        <w:tc>
          <w:tcPr>
            <w:tcW w:type="dxa" w:w="2880"/>
            <w:tcMar>
              <w:top w:w="60" w:type="dxa"/>
              <w:left w:w="110" w:type="dxa"/>
              <w:bottom w:w="60" w:type="dxa"/>
              <w:right w:w="110" w:type="dxa"/>
            </w:tcMar>
            <w:vAlign w:val="top"/>
          </w:tcPr>
          <w:p>
            <w:pPr>
              <w:spacing w:after="20"/>
            </w:pPr>
            <w:r>
              <w:rPr>
                <w:sz w:val="18"/>
              </w:rPr>
              <w:t>Course fees, certification, corporate L&amp;D</w:t>
            </w:r>
          </w:p>
        </w:tc>
        <w:tc>
          <w:tcPr>
            <w:tcW w:type="dxa" w:w="2160"/>
            <w:tcMar>
              <w:top w:w="60" w:type="dxa"/>
              <w:left w:w="110" w:type="dxa"/>
              <w:bottom w:w="60" w:type="dxa"/>
              <w:right w:w="110" w:type="dxa"/>
            </w:tcMar>
            <w:vAlign w:val="top"/>
          </w:tcPr>
          <w:p>
            <w:pPr>
              <w:spacing w:after="20"/>
            </w:pPr>
            <w:r>
              <w:rPr>
                <w:sz w:val="18"/>
              </w:rPr>
              <w:t>Learner / corporate (separate site)</w:t>
            </w:r>
          </w:p>
        </w:tc>
      </w:tr>
      <w:tr>
        <w:tc>
          <w:tcPr>
            <w:tcW w:type="dxa" w:w="576"/>
            <w:shd w:val="clear" w:color="auto" w:fill="EAF1F6"/>
            <w:tcMar>
              <w:top w:w="60" w:type="dxa"/>
              <w:left w:w="110" w:type="dxa"/>
              <w:bottom w:w="60" w:type="dxa"/>
              <w:right w:w="110" w:type="dxa"/>
            </w:tcMar>
            <w:vAlign w:val="top"/>
          </w:tcPr>
          <w:p>
            <w:pPr>
              <w:spacing w:after="20"/>
            </w:pPr>
            <w:r>
              <w:rPr>
                <w:b/>
                <w:sz w:val="18"/>
              </w:rPr>
              <w:t>6</w:t>
            </w:r>
          </w:p>
        </w:tc>
        <w:tc>
          <w:tcPr>
            <w:tcW w:type="dxa" w:w="3744"/>
            <w:shd w:val="clear" w:color="auto" w:fill="EAF1F6"/>
            <w:tcMar>
              <w:top w:w="60" w:type="dxa"/>
              <w:left w:w="110" w:type="dxa"/>
              <w:bottom w:w="60" w:type="dxa"/>
              <w:right w:w="110" w:type="dxa"/>
            </w:tcMar>
            <w:vAlign w:val="top"/>
          </w:tcPr>
          <w:p>
            <w:pPr>
              <w:spacing w:after="20"/>
            </w:pPr>
            <w:r>
              <w:rPr>
                <w:sz w:val="18"/>
              </w:rPr>
              <w:t>API &amp; Embed (white-label, lender/marketplace integration)</w:t>
            </w:r>
          </w:p>
        </w:tc>
        <w:tc>
          <w:tcPr>
            <w:tcW w:type="dxa" w:w="2880"/>
            <w:shd w:val="clear" w:color="auto" w:fill="EAF1F6"/>
            <w:tcMar>
              <w:top w:w="60" w:type="dxa"/>
              <w:left w:w="110" w:type="dxa"/>
              <w:bottom w:w="60" w:type="dxa"/>
              <w:right w:w="110" w:type="dxa"/>
            </w:tcMar>
            <w:vAlign w:val="top"/>
          </w:tcPr>
          <w:p>
            <w:pPr>
              <w:spacing w:after="20"/>
            </w:pPr>
            <w:r>
              <w:rPr>
                <w:sz w:val="18"/>
              </w:rPr>
              <w:t>Platform + usage fees</w:t>
            </w:r>
          </w:p>
        </w:tc>
        <w:tc>
          <w:tcPr>
            <w:tcW w:type="dxa" w:w="2160"/>
            <w:shd w:val="clear" w:color="auto" w:fill="EAF1F6"/>
            <w:tcMar>
              <w:top w:w="60" w:type="dxa"/>
              <w:left w:w="110" w:type="dxa"/>
              <w:bottom w:w="60" w:type="dxa"/>
              <w:right w:w="110" w:type="dxa"/>
            </w:tcMar>
            <w:vAlign w:val="top"/>
          </w:tcPr>
          <w:p>
            <w:pPr>
              <w:spacing w:after="20"/>
            </w:pPr>
            <w:r>
              <w:rPr>
                <w:sz w:val="18"/>
              </w:rPr>
              <w:t>Fintech / NBFC / marketplace</w:t>
            </w:r>
          </w:p>
        </w:tc>
      </w:tr>
    </w:tbl>
    <w:p>
      <w:pPr>
        <w:spacing w:after="40"/>
      </w:pPr>
    </w:p>
    <w:p>
      <w:pPr>
        <w:pStyle w:val="Heading2"/>
      </w:pPr>
      <w:r>
        <w:t>3.2 Actors &amp; roles</w:t>
      </w:r>
    </w:p>
    <w:p>
      <w:pPr>
        <w:spacing w:after="120"/>
      </w:pPr>
      <w:r>
        <w:rPr>
          <w:b w:val="0"/>
        </w:rPr>
        <w:t>Roles are global; permissions are scoped per tenant and per case (see §9). The role model is the foundation of access control and of the persona-specific dashboards described in EQR-09.</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3600"/>
            <w:shd w:val="clear" w:color="auto" w:fill="0B2E4F"/>
            <w:tcMar>
              <w:top w:w="60" w:type="dxa"/>
              <w:left w:w="110" w:type="dxa"/>
              <w:bottom w:w="60" w:type="dxa"/>
              <w:right w:w="110" w:type="dxa"/>
            </w:tcMar>
            <w:vAlign w:val="center"/>
          </w:tcPr>
          <w:p>
            <w:pPr>
              <w:spacing w:after="20"/>
            </w:pPr>
            <w:r>
              <w:rPr>
                <w:b/>
                <w:color w:val="FFFFFF"/>
                <w:sz w:val="18"/>
              </w:rPr>
              <w:t>Actor</w:t>
            </w:r>
          </w:p>
        </w:tc>
        <w:tc>
          <w:tcPr>
            <w:tcW w:type="dxa" w:w="5760"/>
            <w:shd w:val="clear" w:color="auto" w:fill="0B2E4F"/>
            <w:tcMar>
              <w:top w:w="60" w:type="dxa"/>
              <w:left w:w="110" w:type="dxa"/>
              <w:bottom w:w="60" w:type="dxa"/>
              <w:right w:w="110" w:type="dxa"/>
            </w:tcMar>
            <w:vAlign w:val="center"/>
          </w:tcPr>
          <w:p>
            <w:pPr>
              <w:spacing w:after="20"/>
            </w:pPr>
            <w:r>
              <w:rPr>
                <w:b/>
                <w:color w:val="FFFFFF"/>
                <w:sz w:val="18"/>
              </w:rPr>
              <w:t>Key capabilities</w:t>
            </w:r>
          </w:p>
        </w:tc>
      </w:tr>
      <w:tr>
        <w:tc>
          <w:tcPr>
            <w:tcW w:type="dxa" w:w="3600"/>
            <w:tcMar>
              <w:top w:w="60" w:type="dxa"/>
              <w:left w:w="110" w:type="dxa"/>
              <w:bottom w:w="60" w:type="dxa"/>
              <w:right w:w="110" w:type="dxa"/>
            </w:tcMar>
            <w:vAlign w:val="top"/>
          </w:tcPr>
          <w:p>
            <w:pPr>
              <w:spacing w:after="20"/>
            </w:pPr>
            <w:r>
              <w:rPr>
                <w:b/>
                <w:sz w:val="18"/>
              </w:rPr>
              <w:t>Party (Claimant / Respondent)</w:t>
            </w:r>
          </w:p>
        </w:tc>
        <w:tc>
          <w:tcPr>
            <w:tcW w:type="dxa" w:w="5760"/>
            <w:tcMar>
              <w:top w:w="60" w:type="dxa"/>
              <w:left w:w="110" w:type="dxa"/>
              <w:bottom w:w="60" w:type="dxa"/>
              <w:right w:w="110" w:type="dxa"/>
            </w:tcMar>
            <w:vAlign w:val="top"/>
          </w:tcPr>
          <w:p>
            <w:pPr>
              <w:spacing w:after="20"/>
            </w:pPr>
            <w:r>
              <w:rPr>
                <w:sz w:val="18"/>
              </w:rPr>
              <w:t>File / respond, upload evidence, use Dispute Explorer, e-sign, pay, join hearings, track status.</w:t>
            </w:r>
          </w:p>
        </w:tc>
      </w:tr>
      <w:tr>
        <w:tc>
          <w:tcPr>
            <w:tcW w:type="dxa" w:w="3600"/>
            <w:shd w:val="clear" w:color="auto" w:fill="EAF1F6"/>
            <w:tcMar>
              <w:top w:w="60" w:type="dxa"/>
              <w:left w:w="110" w:type="dxa"/>
              <w:bottom w:w="60" w:type="dxa"/>
              <w:right w:w="110" w:type="dxa"/>
            </w:tcMar>
            <w:vAlign w:val="top"/>
          </w:tcPr>
          <w:p>
            <w:pPr>
              <w:spacing w:after="20"/>
            </w:pPr>
            <w:r>
              <w:rPr>
                <w:b/>
                <w:sz w:val="18"/>
              </w:rPr>
              <w:t>Counsel / Authorised Representative</w:t>
            </w:r>
          </w:p>
        </w:tc>
        <w:tc>
          <w:tcPr>
            <w:tcW w:type="dxa" w:w="5760"/>
            <w:shd w:val="clear" w:color="auto" w:fill="EAF1F6"/>
            <w:tcMar>
              <w:top w:w="60" w:type="dxa"/>
              <w:left w:w="110" w:type="dxa"/>
              <w:bottom w:w="60" w:type="dxa"/>
              <w:right w:w="110" w:type="dxa"/>
            </w:tcMar>
            <w:vAlign w:val="top"/>
          </w:tcPr>
          <w:p>
            <w:pPr>
              <w:spacing w:after="20"/>
            </w:pPr>
            <w:r>
              <w:rPr>
                <w:sz w:val="18"/>
              </w:rPr>
              <w:t>Act on behalf under a party mandate; manage filings; restricted by scope.</w:t>
            </w:r>
          </w:p>
        </w:tc>
      </w:tr>
      <w:tr>
        <w:tc>
          <w:tcPr>
            <w:tcW w:type="dxa" w:w="3600"/>
            <w:tcMar>
              <w:top w:w="60" w:type="dxa"/>
              <w:left w:w="110" w:type="dxa"/>
              <w:bottom w:w="60" w:type="dxa"/>
              <w:right w:w="110" w:type="dxa"/>
            </w:tcMar>
            <w:vAlign w:val="top"/>
          </w:tcPr>
          <w:p>
            <w:pPr>
              <w:spacing w:after="20"/>
            </w:pPr>
            <w:r>
              <w:rPr>
                <w:b/>
                <w:sz w:val="18"/>
              </w:rPr>
              <w:t>Neutral — Arbitrator</w:t>
            </w:r>
          </w:p>
        </w:tc>
        <w:tc>
          <w:tcPr>
            <w:tcW w:type="dxa" w:w="5760"/>
            <w:tcMar>
              <w:top w:w="60" w:type="dxa"/>
              <w:left w:w="110" w:type="dxa"/>
              <w:bottom w:w="60" w:type="dxa"/>
              <w:right w:w="110" w:type="dxa"/>
            </w:tcMar>
            <w:vAlign w:val="top"/>
          </w:tcPr>
          <w:p>
            <w:pPr>
              <w:spacing w:after="20"/>
            </w:pPr>
            <w:r>
              <w:rPr>
                <w:sz w:val="18"/>
              </w:rPr>
              <w:t>Manage proceedings, orders, evidence, award drafting, fee notes.</w:t>
            </w:r>
          </w:p>
        </w:tc>
      </w:tr>
      <w:tr>
        <w:tc>
          <w:tcPr>
            <w:tcW w:type="dxa" w:w="3600"/>
            <w:shd w:val="clear" w:color="auto" w:fill="EAF1F6"/>
            <w:tcMar>
              <w:top w:w="60" w:type="dxa"/>
              <w:left w:w="110" w:type="dxa"/>
              <w:bottom w:w="60" w:type="dxa"/>
              <w:right w:w="110" w:type="dxa"/>
            </w:tcMar>
            <w:vAlign w:val="top"/>
          </w:tcPr>
          <w:p>
            <w:pPr>
              <w:spacing w:after="20"/>
            </w:pPr>
            <w:r>
              <w:rPr>
                <w:b/>
                <w:sz w:val="18"/>
              </w:rPr>
              <w:t>Neutral — Mediator / Conciliator</w:t>
            </w:r>
          </w:p>
        </w:tc>
        <w:tc>
          <w:tcPr>
            <w:tcW w:type="dxa" w:w="5760"/>
            <w:shd w:val="clear" w:color="auto" w:fill="EAF1F6"/>
            <w:tcMar>
              <w:top w:w="60" w:type="dxa"/>
              <w:left w:w="110" w:type="dxa"/>
              <w:bottom w:w="60" w:type="dxa"/>
              <w:right w:w="110" w:type="dxa"/>
            </w:tcMar>
            <w:vAlign w:val="top"/>
          </w:tcPr>
          <w:p>
            <w:pPr>
              <w:spacing w:after="20"/>
            </w:pPr>
            <w:r>
              <w:rPr>
                <w:sz w:val="18"/>
              </w:rPr>
              <w:t>Joint &amp; caucus sessions, settlement drafting, confidentiality controls.</w:t>
            </w:r>
          </w:p>
        </w:tc>
      </w:tr>
      <w:tr>
        <w:tc>
          <w:tcPr>
            <w:tcW w:type="dxa" w:w="3600"/>
            <w:tcMar>
              <w:top w:w="60" w:type="dxa"/>
              <w:left w:w="110" w:type="dxa"/>
              <w:bottom w:w="60" w:type="dxa"/>
              <w:right w:w="110" w:type="dxa"/>
            </w:tcMar>
            <w:vAlign w:val="top"/>
          </w:tcPr>
          <w:p>
            <w:pPr>
              <w:spacing w:after="20"/>
            </w:pPr>
            <w:r>
              <w:rPr>
                <w:b/>
                <w:sz w:val="18"/>
              </w:rPr>
              <w:t>Case Manager</w:t>
            </w:r>
          </w:p>
        </w:tc>
        <w:tc>
          <w:tcPr>
            <w:tcW w:type="dxa" w:w="5760"/>
            <w:tcMar>
              <w:top w:w="60" w:type="dxa"/>
              <w:left w:w="110" w:type="dxa"/>
              <w:bottom w:w="60" w:type="dxa"/>
              <w:right w:w="110" w:type="dxa"/>
            </w:tcMar>
            <w:vAlign w:val="top"/>
          </w:tcPr>
          <w:p>
            <w:pPr>
              <w:spacing w:after="20"/>
            </w:pPr>
            <w:r>
              <w:rPr>
                <w:sz w:val="18"/>
              </w:rPr>
              <w:t>Scheduling, document control, compliance-clock monitoring, party communications.</w:t>
            </w:r>
          </w:p>
        </w:tc>
      </w:tr>
      <w:tr>
        <w:tc>
          <w:tcPr>
            <w:tcW w:type="dxa" w:w="3600"/>
            <w:shd w:val="clear" w:color="auto" w:fill="EAF1F6"/>
            <w:tcMar>
              <w:top w:w="60" w:type="dxa"/>
              <w:left w:w="110" w:type="dxa"/>
              <w:bottom w:w="60" w:type="dxa"/>
              <w:right w:w="110" w:type="dxa"/>
            </w:tcMar>
            <w:vAlign w:val="top"/>
          </w:tcPr>
          <w:p>
            <w:pPr>
              <w:spacing w:after="20"/>
            </w:pPr>
            <w:r>
              <w:rPr>
                <w:b/>
                <w:sz w:val="18"/>
              </w:rPr>
              <w:t>Institution Admin (EDRS / Private Court)</w:t>
            </w:r>
          </w:p>
        </w:tc>
        <w:tc>
          <w:tcPr>
            <w:tcW w:type="dxa" w:w="5760"/>
            <w:shd w:val="clear" w:color="auto" w:fill="EAF1F6"/>
            <w:tcMar>
              <w:top w:w="60" w:type="dxa"/>
              <w:left w:w="110" w:type="dxa"/>
              <w:bottom w:w="60" w:type="dxa"/>
              <w:right w:w="110" w:type="dxa"/>
            </w:tcMar>
            <w:vAlign w:val="top"/>
          </w:tcPr>
          <w:p>
            <w:pPr>
              <w:spacing w:after="20"/>
            </w:pPr>
            <w:r>
              <w:rPr>
                <w:sz w:val="18"/>
              </w:rPr>
              <w:t>Empanelment, allocation rules, fee schedules, reporting, branding.</w:t>
            </w:r>
          </w:p>
        </w:tc>
      </w:tr>
      <w:tr>
        <w:tc>
          <w:tcPr>
            <w:tcW w:type="dxa" w:w="3600"/>
            <w:tcMar>
              <w:top w:w="60" w:type="dxa"/>
              <w:left w:w="110" w:type="dxa"/>
              <w:bottom w:w="60" w:type="dxa"/>
              <w:right w:w="110" w:type="dxa"/>
            </w:tcMar>
            <w:vAlign w:val="top"/>
          </w:tcPr>
          <w:p>
            <w:pPr>
              <w:spacing w:after="20"/>
            </w:pPr>
            <w:r>
              <w:rPr>
                <w:b/>
                <w:sz w:val="18"/>
              </w:rPr>
              <w:t>Enterprise Admin (B2B client)</w:t>
            </w:r>
          </w:p>
        </w:tc>
        <w:tc>
          <w:tcPr>
            <w:tcW w:type="dxa" w:w="5760"/>
            <w:tcMar>
              <w:top w:w="60" w:type="dxa"/>
              <w:left w:w="110" w:type="dxa"/>
              <w:bottom w:w="60" w:type="dxa"/>
              <w:right w:w="110" w:type="dxa"/>
            </w:tcMar>
            <w:vAlign w:val="top"/>
          </w:tcPr>
          <w:p>
            <w:pPr>
              <w:spacing w:after="20"/>
            </w:pPr>
            <w:r>
              <w:rPr>
                <w:sz w:val="18"/>
              </w:rPr>
              <w:t>Configure clauses, bulk-refer, manage IC, view dashboards, manage integration keys.</w:t>
            </w:r>
          </w:p>
        </w:tc>
      </w:tr>
      <w:tr>
        <w:tc>
          <w:tcPr>
            <w:tcW w:type="dxa" w:w="3600"/>
            <w:shd w:val="clear" w:color="auto" w:fill="EAF1F6"/>
            <w:tcMar>
              <w:top w:w="60" w:type="dxa"/>
              <w:left w:w="110" w:type="dxa"/>
              <w:bottom w:w="60" w:type="dxa"/>
              <w:right w:w="110" w:type="dxa"/>
            </w:tcMar>
            <w:vAlign w:val="top"/>
          </w:tcPr>
          <w:p>
            <w:pPr>
              <w:spacing w:after="20"/>
            </w:pPr>
            <w:r>
              <w:rPr>
                <w:b/>
                <w:sz w:val="18"/>
              </w:rPr>
              <w:t>IC Member / POSH External Member</w:t>
            </w:r>
          </w:p>
        </w:tc>
        <w:tc>
          <w:tcPr>
            <w:tcW w:type="dxa" w:w="5760"/>
            <w:shd w:val="clear" w:color="auto" w:fill="EAF1F6"/>
            <w:tcMar>
              <w:top w:w="60" w:type="dxa"/>
              <w:left w:w="110" w:type="dxa"/>
              <w:bottom w:w="60" w:type="dxa"/>
              <w:right w:w="110" w:type="dxa"/>
            </w:tcMar>
            <w:vAlign w:val="top"/>
          </w:tcPr>
          <w:p>
            <w:pPr>
              <w:spacing w:after="20"/>
            </w:pPr>
            <w:r>
              <w:rPr>
                <w:sz w:val="18"/>
              </w:rPr>
              <w:t>Confidential inquiry workflow, records, recommendations.</w:t>
            </w:r>
          </w:p>
        </w:tc>
      </w:tr>
      <w:tr>
        <w:tc>
          <w:tcPr>
            <w:tcW w:type="dxa" w:w="3600"/>
            <w:tcMar>
              <w:top w:w="60" w:type="dxa"/>
              <w:left w:w="110" w:type="dxa"/>
              <w:bottom w:w="60" w:type="dxa"/>
              <w:right w:w="110" w:type="dxa"/>
            </w:tcMar>
            <w:vAlign w:val="top"/>
          </w:tcPr>
          <w:p>
            <w:pPr>
              <w:spacing w:after="20"/>
            </w:pPr>
            <w:r>
              <w:rPr>
                <w:b/>
                <w:sz w:val="18"/>
              </w:rPr>
              <w:t>Nodal / Grievance Officer</w:t>
            </w:r>
          </w:p>
        </w:tc>
        <w:tc>
          <w:tcPr>
            <w:tcW w:type="dxa" w:w="5760"/>
            <w:tcMar>
              <w:top w:w="60" w:type="dxa"/>
              <w:left w:w="110" w:type="dxa"/>
              <w:bottom w:w="60" w:type="dxa"/>
              <w:right w:w="110" w:type="dxa"/>
            </w:tcMar>
            <w:vAlign w:val="top"/>
          </w:tcPr>
          <w:p>
            <w:pPr>
              <w:spacing w:after="20"/>
            </w:pPr>
            <w:r>
              <w:rPr>
                <w:sz w:val="18"/>
              </w:rPr>
              <w:t>Intake triage, SLA monitoring, escalation to EDRS.</w:t>
            </w:r>
          </w:p>
        </w:tc>
      </w:tr>
      <w:tr>
        <w:tc>
          <w:tcPr>
            <w:tcW w:type="dxa" w:w="3600"/>
            <w:shd w:val="clear" w:color="auto" w:fill="EAF1F6"/>
            <w:tcMar>
              <w:top w:w="60" w:type="dxa"/>
              <w:left w:w="110" w:type="dxa"/>
              <w:bottom w:w="60" w:type="dxa"/>
              <w:right w:w="110" w:type="dxa"/>
            </w:tcMar>
            <w:vAlign w:val="top"/>
          </w:tcPr>
          <w:p>
            <w:pPr>
              <w:spacing w:after="20"/>
            </w:pPr>
            <w:r>
              <w:rPr>
                <w:b/>
                <w:sz w:val="18"/>
              </w:rPr>
              <w:t>Platform Admin / Ops / Support</w:t>
            </w:r>
          </w:p>
        </w:tc>
        <w:tc>
          <w:tcPr>
            <w:tcW w:type="dxa" w:w="5760"/>
            <w:shd w:val="clear" w:color="auto" w:fill="EAF1F6"/>
            <w:tcMar>
              <w:top w:w="60" w:type="dxa"/>
              <w:left w:w="110" w:type="dxa"/>
              <w:bottom w:w="60" w:type="dxa"/>
              <w:right w:w="110" w:type="dxa"/>
            </w:tcMar>
            <w:vAlign w:val="top"/>
          </w:tcPr>
          <w:p>
            <w:pPr>
              <w:spacing w:after="20"/>
            </w:pPr>
            <w:r>
              <w:rPr>
                <w:sz w:val="18"/>
              </w:rPr>
              <w:t>Tenant management, KYC review, audit, configuration, tiered support.</w:t>
            </w:r>
          </w:p>
        </w:tc>
      </w:tr>
      <w:tr>
        <w:tc>
          <w:tcPr>
            <w:tcW w:type="dxa" w:w="3600"/>
            <w:tcMar>
              <w:top w:w="60" w:type="dxa"/>
              <w:left w:w="110" w:type="dxa"/>
              <w:bottom w:w="60" w:type="dxa"/>
              <w:right w:w="110" w:type="dxa"/>
            </w:tcMar>
            <w:vAlign w:val="top"/>
          </w:tcPr>
          <w:p>
            <w:pPr>
              <w:spacing w:after="20"/>
            </w:pPr>
            <w:r>
              <w:rPr>
                <w:b/>
                <w:sz w:val="18"/>
              </w:rPr>
              <w:t>Auditor / Regulator (read-only)</w:t>
            </w:r>
          </w:p>
        </w:tc>
        <w:tc>
          <w:tcPr>
            <w:tcW w:type="dxa" w:w="5760"/>
            <w:tcMar>
              <w:top w:w="60" w:type="dxa"/>
              <w:left w:w="110" w:type="dxa"/>
              <w:bottom w:w="60" w:type="dxa"/>
              <w:right w:w="110" w:type="dxa"/>
            </w:tcMar>
            <w:vAlign w:val="top"/>
          </w:tcPr>
          <w:p>
            <w:pPr>
              <w:spacing w:after="20"/>
            </w:pPr>
            <w:r>
              <w:rPr>
                <w:sz w:val="18"/>
              </w:rPr>
              <w:t>Scoped, immutable, read-only access to specified records.</w:t>
            </w:r>
          </w:p>
        </w:tc>
      </w:tr>
    </w:tbl>
    <w:p>
      <w:pPr>
        <w:spacing w:after="40"/>
      </w:pPr>
    </w:p>
    <w:p>
      <w:pPr>
        <w:pStyle w:val="Heading2"/>
      </w:pPr>
      <w:r>
        <w:t>3.3 The two business pathways for companies</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3120"/>
        <w:gridCol w:w="3120"/>
        <w:gridCol w:w="3120"/>
      </w:tblGrid>
      <w:tr>
        <w:trPr>
          <w:tblHeader w:val="true"/>
        </w:trPr>
        <w:tc>
          <w:tcPr>
            <w:tcW w:type="dxa" w:w="2016"/>
            <w:shd w:val="clear" w:color="auto" w:fill="0B2E4F"/>
            <w:tcMar>
              <w:top w:w="60" w:type="dxa"/>
              <w:left w:w="110" w:type="dxa"/>
              <w:bottom w:w="60" w:type="dxa"/>
              <w:right w:w="110" w:type="dxa"/>
            </w:tcMar>
            <w:vAlign w:val="center"/>
          </w:tcPr>
          <w:p>
            <w:pPr>
              <w:spacing w:after="20"/>
            </w:pPr>
            <w:r>
              <w:rPr>
                <w:b/>
                <w:color w:val="FFFFFF"/>
                <w:sz w:val="18"/>
              </w:rPr>
              <w:t>Dimension</w:t>
            </w:r>
          </w:p>
        </w:tc>
        <w:tc>
          <w:tcPr>
            <w:tcW w:type="dxa" w:w="3672"/>
            <w:shd w:val="clear" w:color="auto" w:fill="0B2E4F"/>
            <w:tcMar>
              <w:top w:w="60" w:type="dxa"/>
              <w:left w:w="110" w:type="dxa"/>
              <w:bottom w:w="60" w:type="dxa"/>
              <w:right w:w="110" w:type="dxa"/>
            </w:tcMar>
            <w:vAlign w:val="center"/>
          </w:tcPr>
          <w:p>
            <w:pPr>
              <w:spacing w:after="20"/>
            </w:pPr>
            <w:r>
              <w:rPr>
                <w:b/>
                <w:color w:val="FFFFFF"/>
                <w:sz w:val="18"/>
              </w:rPr>
              <w:t>Pathway A — External disputes</w:t>
            </w:r>
          </w:p>
        </w:tc>
        <w:tc>
          <w:tcPr>
            <w:tcW w:type="dxa" w:w="3672"/>
            <w:shd w:val="clear" w:color="auto" w:fill="0B2E4F"/>
            <w:tcMar>
              <w:top w:w="60" w:type="dxa"/>
              <w:left w:w="110" w:type="dxa"/>
              <w:bottom w:w="60" w:type="dxa"/>
              <w:right w:w="110" w:type="dxa"/>
            </w:tcMar>
            <w:vAlign w:val="center"/>
          </w:tcPr>
          <w:p>
            <w:pPr>
              <w:spacing w:after="20"/>
            </w:pPr>
            <w:r>
              <w:rPr>
                <w:b/>
                <w:color w:val="FFFFFF"/>
                <w:sz w:val="18"/>
              </w:rPr>
              <w:t>Pathway B — Internal grievance</w:t>
            </w:r>
          </w:p>
        </w:tc>
      </w:tr>
      <w:tr>
        <w:tc>
          <w:tcPr>
            <w:tcW w:type="dxa" w:w="2016"/>
            <w:tcMar>
              <w:top w:w="60" w:type="dxa"/>
              <w:left w:w="110" w:type="dxa"/>
              <w:bottom w:w="60" w:type="dxa"/>
              <w:right w:w="110" w:type="dxa"/>
            </w:tcMar>
            <w:vAlign w:val="top"/>
          </w:tcPr>
          <w:p>
            <w:pPr>
              <w:spacing w:after="20"/>
            </w:pPr>
            <w:r>
              <w:rPr>
                <w:b/>
                <w:sz w:val="18"/>
              </w:rPr>
              <w:t>Who</w:t>
            </w:r>
          </w:p>
        </w:tc>
        <w:tc>
          <w:tcPr>
            <w:tcW w:type="dxa" w:w="3672"/>
            <w:tcMar>
              <w:top w:w="60" w:type="dxa"/>
              <w:left w:w="110" w:type="dxa"/>
              <w:bottom w:w="60" w:type="dxa"/>
              <w:right w:w="110" w:type="dxa"/>
            </w:tcMar>
            <w:vAlign w:val="top"/>
          </w:tcPr>
          <w:p>
            <w:pPr>
              <w:spacing w:after="20"/>
            </w:pPr>
            <w:r>
              <w:rPr>
                <w:sz w:val="18"/>
              </w:rPr>
              <w:t>Clients / customers vs. the company</w:t>
            </w:r>
          </w:p>
        </w:tc>
        <w:tc>
          <w:tcPr>
            <w:tcW w:type="dxa" w:w="3672"/>
            <w:tcMar>
              <w:top w:w="60" w:type="dxa"/>
              <w:left w:w="110" w:type="dxa"/>
              <w:bottom w:w="60" w:type="dxa"/>
              <w:right w:w="110" w:type="dxa"/>
            </w:tcMar>
            <w:vAlign w:val="top"/>
          </w:tcPr>
          <w:p>
            <w:pPr>
              <w:spacing w:after="20"/>
            </w:pPr>
            <w:r>
              <w:rPr>
                <w:sz w:val="18"/>
              </w:rPr>
              <w:t>Employees vs. the company (incl. POSH)</w:t>
            </w:r>
          </w:p>
        </w:tc>
      </w:tr>
      <w:tr>
        <w:tc>
          <w:tcPr>
            <w:tcW w:type="dxa" w:w="2016"/>
            <w:shd w:val="clear" w:color="auto" w:fill="EAF1F6"/>
            <w:tcMar>
              <w:top w:w="60" w:type="dxa"/>
              <w:left w:w="110" w:type="dxa"/>
              <w:bottom w:w="60" w:type="dxa"/>
              <w:right w:w="110" w:type="dxa"/>
            </w:tcMar>
            <w:vAlign w:val="top"/>
          </w:tcPr>
          <w:p>
            <w:pPr>
              <w:spacing w:after="20"/>
            </w:pPr>
            <w:r>
              <w:rPr>
                <w:b/>
                <w:sz w:val="18"/>
              </w:rPr>
              <w:t>Trigger</w:t>
            </w:r>
          </w:p>
        </w:tc>
        <w:tc>
          <w:tcPr>
            <w:tcW w:type="dxa" w:w="3672"/>
            <w:shd w:val="clear" w:color="auto" w:fill="EAF1F6"/>
            <w:tcMar>
              <w:top w:w="60" w:type="dxa"/>
              <w:left w:w="110" w:type="dxa"/>
              <w:bottom w:w="60" w:type="dxa"/>
              <w:right w:w="110" w:type="dxa"/>
            </w:tcMar>
            <w:vAlign w:val="top"/>
          </w:tcPr>
          <w:p>
            <w:pPr>
              <w:spacing w:after="20"/>
            </w:pPr>
            <w:r>
              <w:rPr>
                <w:sz w:val="18"/>
              </w:rPr>
              <w:t>Arbitration/mediation clause in contracts, T&amp;Cs, apps</w:t>
            </w:r>
          </w:p>
        </w:tc>
        <w:tc>
          <w:tcPr>
            <w:tcW w:type="dxa" w:w="3672"/>
            <w:shd w:val="clear" w:color="auto" w:fill="EAF1F6"/>
            <w:tcMar>
              <w:top w:w="60" w:type="dxa"/>
              <w:left w:w="110" w:type="dxa"/>
              <w:bottom w:w="60" w:type="dxa"/>
              <w:right w:w="110" w:type="dxa"/>
            </w:tcMar>
            <w:vAlign w:val="top"/>
          </w:tcPr>
          <w:p>
            <w:pPr>
              <w:spacing w:after="20"/>
            </w:pPr>
            <w:r>
              <w:rPr>
                <w:sz w:val="18"/>
              </w:rPr>
              <w:t>Grievance/POSH complaint via internal portal</w:t>
            </w:r>
          </w:p>
        </w:tc>
      </w:tr>
      <w:tr>
        <w:tc>
          <w:tcPr>
            <w:tcW w:type="dxa" w:w="2016"/>
            <w:tcMar>
              <w:top w:w="60" w:type="dxa"/>
              <w:left w:w="110" w:type="dxa"/>
              <w:bottom w:w="60" w:type="dxa"/>
              <w:right w:w="110" w:type="dxa"/>
            </w:tcMar>
            <w:vAlign w:val="top"/>
          </w:tcPr>
          <w:p>
            <w:pPr>
              <w:spacing w:after="20"/>
            </w:pPr>
            <w:r>
              <w:rPr>
                <w:b/>
                <w:sz w:val="18"/>
              </w:rPr>
              <w:t>First handler</w:t>
            </w:r>
          </w:p>
        </w:tc>
        <w:tc>
          <w:tcPr>
            <w:tcW w:type="dxa" w:w="3672"/>
            <w:tcMar>
              <w:top w:w="60" w:type="dxa"/>
              <w:left w:w="110" w:type="dxa"/>
              <w:bottom w:w="60" w:type="dxa"/>
              <w:right w:w="110" w:type="dxa"/>
            </w:tcMar>
            <w:vAlign w:val="top"/>
          </w:tcPr>
          <w:p>
            <w:pPr>
              <w:spacing w:after="20"/>
            </w:pPr>
            <w:r>
              <w:rPr>
                <w:sz w:val="18"/>
              </w:rPr>
              <w:t>EDRS or chosen neutral</w:t>
            </w:r>
          </w:p>
        </w:tc>
        <w:tc>
          <w:tcPr>
            <w:tcW w:type="dxa" w:w="3672"/>
            <w:tcMar>
              <w:top w:w="60" w:type="dxa"/>
              <w:left w:w="110" w:type="dxa"/>
              <w:bottom w:w="60" w:type="dxa"/>
              <w:right w:w="110" w:type="dxa"/>
            </w:tcMar>
            <w:vAlign w:val="top"/>
          </w:tcPr>
          <w:p>
            <w:pPr>
              <w:spacing w:after="20"/>
            </w:pPr>
            <w:r>
              <w:rPr>
                <w:sz w:val="18"/>
              </w:rPr>
              <w:t>Company Internal Committee (IC) / grievance officer</w:t>
            </w:r>
          </w:p>
        </w:tc>
      </w:tr>
      <w:tr>
        <w:tc>
          <w:tcPr>
            <w:tcW w:type="dxa" w:w="2016"/>
            <w:shd w:val="clear" w:color="auto" w:fill="EAF1F6"/>
            <w:tcMar>
              <w:top w:w="60" w:type="dxa"/>
              <w:left w:w="110" w:type="dxa"/>
              <w:bottom w:w="60" w:type="dxa"/>
              <w:right w:w="110" w:type="dxa"/>
            </w:tcMar>
            <w:vAlign w:val="top"/>
          </w:tcPr>
          <w:p>
            <w:pPr>
              <w:spacing w:after="20"/>
            </w:pPr>
            <w:r>
              <w:rPr>
                <w:b/>
                <w:sz w:val="18"/>
              </w:rPr>
              <w:t>Escalation</w:t>
            </w:r>
          </w:p>
        </w:tc>
        <w:tc>
          <w:tcPr>
            <w:tcW w:type="dxa" w:w="3672"/>
            <w:shd w:val="clear" w:color="auto" w:fill="EAF1F6"/>
            <w:tcMar>
              <w:top w:w="60" w:type="dxa"/>
              <w:left w:w="110" w:type="dxa"/>
              <w:bottom w:w="60" w:type="dxa"/>
              <w:right w:w="110" w:type="dxa"/>
            </w:tcMar>
            <w:vAlign w:val="top"/>
          </w:tcPr>
          <w:p>
            <w:pPr>
              <w:spacing w:after="20"/>
            </w:pPr>
            <w:r>
              <w:rPr>
                <w:sz w:val="18"/>
              </w:rPr>
              <w:t>Direct to ODR ladder (conciliation→mediation/arbitration)</w:t>
            </w:r>
          </w:p>
        </w:tc>
        <w:tc>
          <w:tcPr>
            <w:tcW w:type="dxa" w:w="3672"/>
            <w:shd w:val="clear" w:color="auto" w:fill="EAF1F6"/>
            <w:tcMar>
              <w:top w:w="60" w:type="dxa"/>
              <w:left w:w="110" w:type="dxa"/>
              <w:bottom w:w="60" w:type="dxa"/>
              <w:right w:w="110" w:type="dxa"/>
            </w:tcMar>
            <w:vAlign w:val="top"/>
          </w:tcPr>
          <w:p>
            <w:pPr>
              <w:spacing w:after="20"/>
            </w:pPr>
            <w:r>
              <w:rPr>
                <w:sz w:val="18"/>
              </w:rPr>
              <w:t>Escalated to EDRS via mediation/arbitration</w:t>
            </w:r>
          </w:p>
        </w:tc>
      </w:tr>
      <w:tr>
        <w:tc>
          <w:tcPr>
            <w:tcW w:type="dxa" w:w="2016"/>
            <w:tcMar>
              <w:top w:w="60" w:type="dxa"/>
              <w:left w:w="110" w:type="dxa"/>
              <w:bottom w:w="60" w:type="dxa"/>
              <w:right w:w="110" w:type="dxa"/>
            </w:tcMar>
            <w:vAlign w:val="top"/>
          </w:tcPr>
          <w:p>
            <w:pPr>
              <w:spacing w:after="20"/>
            </w:pPr>
            <w:r>
              <w:rPr>
                <w:b/>
                <w:sz w:val="18"/>
              </w:rPr>
              <w:t>Confidentiality</w:t>
            </w:r>
          </w:p>
        </w:tc>
        <w:tc>
          <w:tcPr>
            <w:tcW w:type="dxa" w:w="3672"/>
            <w:tcMar>
              <w:top w:w="60" w:type="dxa"/>
              <w:left w:w="110" w:type="dxa"/>
              <w:bottom w:w="60" w:type="dxa"/>
              <w:right w:w="110" w:type="dxa"/>
            </w:tcMar>
            <w:vAlign w:val="top"/>
          </w:tcPr>
          <w:p>
            <w:pPr>
              <w:spacing w:after="20"/>
            </w:pPr>
            <w:r>
              <w:rPr>
                <w:sz w:val="18"/>
              </w:rPr>
              <w:t>Standard case tier</w:t>
            </w:r>
          </w:p>
        </w:tc>
        <w:tc>
          <w:tcPr>
            <w:tcW w:type="dxa" w:w="3672"/>
            <w:tcMar>
              <w:top w:w="60" w:type="dxa"/>
              <w:left w:w="110" w:type="dxa"/>
              <w:bottom w:w="60" w:type="dxa"/>
              <w:right w:w="110" w:type="dxa"/>
            </w:tcMar>
            <w:vAlign w:val="top"/>
          </w:tcPr>
          <w:p>
            <w:pPr>
              <w:spacing w:after="20"/>
            </w:pPr>
            <w:r>
              <w:rPr>
                <w:sz w:val="18"/>
              </w:rPr>
              <w:t>Heightened (POSH statutory confidentiality)</w:t>
            </w:r>
          </w:p>
        </w:tc>
      </w:tr>
      <w:tr>
        <w:tc>
          <w:tcPr>
            <w:tcW w:type="dxa" w:w="2016"/>
            <w:shd w:val="clear" w:color="auto" w:fill="EAF1F6"/>
            <w:tcMar>
              <w:top w:w="60" w:type="dxa"/>
              <w:left w:w="110" w:type="dxa"/>
              <w:bottom w:w="60" w:type="dxa"/>
              <w:right w:w="110" w:type="dxa"/>
            </w:tcMar>
            <w:vAlign w:val="top"/>
          </w:tcPr>
          <w:p>
            <w:pPr>
              <w:spacing w:after="20"/>
            </w:pPr>
            <w:r>
              <w:rPr>
                <w:b/>
                <w:sz w:val="18"/>
              </w:rPr>
              <w:t>Clock</w:t>
            </w:r>
          </w:p>
        </w:tc>
        <w:tc>
          <w:tcPr>
            <w:tcW w:type="dxa" w:w="3672"/>
            <w:shd w:val="clear" w:color="auto" w:fill="EAF1F6"/>
            <w:tcMar>
              <w:top w:w="60" w:type="dxa"/>
              <w:left w:w="110" w:type="dxa"/>
              <w:bottom w:w="60" w:type="dxa"/>
              <w:right w:w="110" w:type="dxa"/>
            </w:tcMar>
            <w:vAlign w:val="top"/>
          </w:tcPr>
          <w:p>
            <w:pPr>
              <w:spacing w:after="20"/>
            </w:pPr>
            <w:r>
              <w:rPr>
                <w:sz w:val="18"/>
              </w:rPr>
              <w:t>Per ruleset (e.g., 120-day mediation)</w:t>
            </w:r>
          </w:p>
        </w:tc>
        <w:tc>
          <w:tcPr>
            <w:tcW w:type="dxa" w:w="3672"/>
            <w:shd w:val="clear" w:color="auto" w:fill="EAF1F6"/>
            <w:tcMar>
              <w:top w:w="60" w:type="dxa"/>
              <w:left w:w="110" w:type="dxa"/>
              <w:bottom w:w="60" w:type="dxa"/>
              <w:right w:w="110" w:type="dxa"/>
            </w:tcMar>
            <w:vAlign w:val="top"/>
          </w:tcPr>
          <w:p>
            <w:pPr>
              <w:spacing w:after="20"/>
            </w:pPr>
            <w:r>
              <w:rPr>
                <w:sz w:val="18"/>
              </w:rPr>
              <w:t>POSH 90-day inquiry; RBI 30-day grievance where applicable</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r>
              <w:rPr>
                <w:b/>
                <w:color w:val="0B2E4F"/>
                <w:sz w:val="19"/>
              </w:rPr>
              <w:t xml:space="preserve">Build implication.  </w:t>
            </w:r>
            <w:r>
              <w:rPr>
                <w:color w:val="1A1A1A"/>
                <w:sz w:val="19"/>
              </w:rPr>
              <w:t>Pathway B is a first-class “grievance sub-domain” with its own confidentiality tier, IC role set and single-window routing, plus a clean, consented hand-off contract to EDRS on escalation — not a variant of the commercial case type. See EQR-06 §4 for the escalation contract.</w:t>
            </w:r>
          </w:p>
        </w:tc>
      </w:tr>
    </w:tbl>
    <w:p>
      <w:pPr>
        <w:spacing w:after="40"/>
      </w:pPr>
    </w:p>
    <w:p>
      <w:pPr>
        <w:pStyle w:val="Heading1"/>
      </w:pPr>
      <w:r>
        <w:t>4. Dispute Typology &amp; Resolution Pathways (summary)</w:t>
      </w:r>
    </w:p>
    <w:p>
      <w:pPr>
        <w:spacing w:after="120"/>
      </w:pPr>
      <w:r>
        <w:rPr>
          <w:b w:val="0"/>
        </w:rPr>
        <w:t>Each dispute pillar has a canonical pathway implemented as a configurable state machine (§6.4). The definitions below are summaries; EQR-03 is the authoritative per-module specification, and EQR-02 details the engine that runs them.</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3120"/>
        <w:gridCol w:w="3120"/>
        <w:gridCol w:w="3120"/>
      </w:tblGrid>
      <w:tr>
        <w:trPr>
          <w:tblHeader w:val="true"/>
        </w:trPr>
        <w:tc>
          <w:tcPr>
            <w:tcW w:type="dxa" w:w="2016"/>
            <w:shd w:val="clear" w:color="auto" w:fill="0B2E4F"/>
            <w:tcMar>
              <w:top w:w="60" w:type="dxa"/>
              <w:left w:w="110" w:type="dxa"/>
              <w:bottom w:w="60" w:type="dxa"/>
              <w:right w:w="110" w:type="dxa"/>
            </w:tcMar>
            <w:vAlign w:val="center"/>
          </w:tcPr>
          <w:p>
            <w:pPr>
              <w:spacing w:after="20"/>
            </w:pPr>
            <w:r>
              <w:rPr>
                <w:b/>
                <w:color w:val="FFFFFF"/>
                <w:sz w:val="18"/>
              </w:rPr>
              <w:t>Pillar</w:t>
            </w:r>
          </w:p>
        </w:tc>
        <w:tc>
          <w:tcPr>
            <w:tcW w:type="dxa" w:w="3024"/>
            <w:shd w:val="clear" w:color="auto" w:fill="0B2E4F"/>
            <w:tcMar>
              <w:top w:w="60" w:type="dxa"/>
              <w:left w:w="110" w:type="dxa"/>
              <w:bottom w:w="60" w:type="dxa"/>
              <w:right w:w="110" w:type="dxa"/>
            </w:tcMar>
            <w:vAlign w:val="center"/>
          </w:tcPr>
          <w:p>
            <w:pPr>
              <w:spacing w:after="20"/>
            </w:pPr>
            <w:r>
              <w:rPr>
                <w:b/>
                <w:color w:val="FFFFFF"/>
                <w:sz w:val="18"/>
              </w:rPr>
              <w:t>Primary mechanism(s)</w:t>
            </w:r>
          </w:p>
        </w:tc>
        <w:tc>
          <w:tcPr>
            <w:tcW w:type="dxa" w:w="4320"/>
            <w:shd w:val="clear" w:color="auto" w:fill="0B2E4F"/>
            <w:tcMar>
              <w:top w:w="60" w:type="dxa"/>
              <w:left w:w="110" w:type="dxa"/>
              <w:bottom w:w="60" w:type="dxa"/>
              <w:right w:w="110" w:type="dxa"/>
            </w:tcMar>
            <w:vAlign w:val="center"/>
          </w:tcPr>
          <w:p>
            <w:pPr>
              <w:spacing w:after="20"/>
            </w:pPr>
            <w:r>
              <w:rPr>
                <w:b/>
                <w:color w:val="FFFFFF"/>
                <w:sz w:val="18"/>
              </w:rPr>
              <w:t>Signature features</w:t>
            </w:r>
          </w:p>
        </w:tc>
      </w:tr>
      <w:tr>
        <w:tc>
          <w:tcPr>
            <w:tcW w:type="dxa" w:w="2016"/>
            <w:tcMar>
              <w:top w:w="60" w:type="dxa"/>
              <w:left w:w="110" w:type="dxa"/>
              <w:bottom w:w="60" w:type="dxa"/>
              <w:right w:w="110" w:type="dxa"/>
            </w:tcMar>
            <w:vAlign w:val="top"/>
          </w:tcPr>
          <w:p>
            <w:pPr>
              <w:spacing w:after="20"/>
            </w:pPr>
            <w:r>
              <w:rPr>
                <w:b/>
                <w:sz w:val="18"/>
              </w:rPr>
              <w:t>Family / Marital</w:t>
            </w:r>
          </w:p>
        </w:tc>
        <w:tc>
          <w:tcPr>
            <w:tcW w:type="dxa" w:w="3024"/>
            <w:tcMar>
              <w:top w:w="60" w:type="dxa"/>
              <w:left w:w="110" w:type="dxa"/>
              <w:bottom w:w="60" w:type="dxa"/>
              <w:right w:w="110" w:type="dxa"/>
            </w:tcMar>
            <w:vAlign w:val="top"/>
          </w:tcPr>
          <w:p>
            <w:pPr>
              <w:spacing w:after="20"/>
            </w:pPr>
            <w:r>
              <w:rPr>
                <w:sz w:val="18"/>
              </w:rPr>
              <w:t>Mediation, conciliation</w:t>
            </w:r>
          </w:p>
        </w:tc>
        <w:tc>
          <w:tcPr>
            <w:tcW w:type="dxa" w:w="4320"/>
            <w:tcMar>
              <w:top w:w="60" w:type="dxa"/>
              <w:left w:w="110" w:type="dxa"/>
              <w:bottom w:w="60" w:type="dxa"/>
              <w:right w:w="110" w:type="dxa"/>
            </w:tcMar>
            <w:vAlign w:val="top"/>
          </w:tcPr>
          <w:p>
            <w:pPr>
              <w:spacing w:after="20"/>
            </w:pPr>
            <w:r>
              <w:rPr>
                <w:sz w:val="18"/>
              </w:rPr>
              <w:t>Parenting-plan builder, non-arbitrable flags, confidential caucus, MSA generation</w:t>
            </w:r>
          </w:p>
        </w:tc>
      </w:tr>
      <w:tr>
        <w:tc>
          <w:tcPr>
            <w:tcW w:type="dxa" w:w="2016"/>
            <w:shd w:val="clear" w:color="auto" w:fill="EAF1F6"/>
            <w:tcMar>
              <w:top w:w="60" w:type="dxa"/>
              <w:left w:w="110" w:type="dxa"/>
              <w:bottom w:w="60" w:type="dxa"/>
              <w:right w:w="110" w:type="dxa"/>
            </w:tcMar>
            <w:vAlign w:val="top"/>
          </w:tcPr>
          <w:p>
            <w:pPr>
              <w:spacing w:after="20"/>
            </w:pPr>
            <w:r>
              <w:rPr>
                <w:b/>
                <w:sz w:val="18"/>
              </w:rPr>
              <w:t>NBFC ↔ Borrower</w:t>
            </w:r>
          </w:p>
        </w:tc>
        <w:tc>
          <w:tcPr>
            <w:tcW w:type="dxa" w:w="3024"/>
            <w:shd w:val="clear" w:color="auto" w:fill="EAF1F6"/>
            <w:tcMar>
              <w:top w:w="60" w:type="dxa"/>
              <w:left w:w="110" w:type="dxa"/>
              <w:bottom w:w="60" w:type="dxa"/>
              <w:right w:w="110" w:type="dxa"/>
            </w:tcMar>
            <w:vAlign w:val="top"/>
          </w:tcPr>
          <w:p>
            <w:pPr>
              <w:spacing w:after="20"/>
            </w:pPr>
            <w:r>
              <w:rPr>
                <w:sz w:val="18"/>
              </w:rPr>
              <w:t>Conciliation → mediation/arbitration</w:t>
            </w:r>
          </w:p>
        </w:tc>
        <w:tc>
          <w:tcPr>
            <w:tcW w:type="dxa" w:w="4320"/>
            <w:shd w:val="clear" w:color="auto" w:fill="EAF1F6"/>
            <w:tcMar>
              <w:top w:w="60" w:type="dxa"/>
              <w:left w:w="110" w:type="dxa"/>
              <w:bottom w:w="60" w:type="dxa"/>
              <w:right w:w="110" w:type="dxa"/>
            </w:tcMar>
            <w:vAlign w:val="top"/>
          </w:tcPr>
          <w:p>
            <w:pPr>
              <w:spacing w:after="20"/>
            </w:pPr>
            <w:r>
              <w:rPr>
                <w:sz w:val="18"/>
              </w:rPr>
              <w:t>Bulk/API intake, clause auto-initiation, round-robin allocation, settlement schedules</w:t>
            </w:r>
          </w:p>
        </w:tc>
      </w:tr>
      <w:tr>
        <w:tc>
          <w:tcPr>
            <w:tcW w:type="dxa" w:w="2016"/>
            <w:tcMar>
              <w:top w:w="60" w:type="dxa"/>
              <w:left w:w="110" w:type="dxa"/>
              <w:bottom w:w="60" w:type="dxa"/>
              <w:right w:w="110" w:type="dxa"/>
            </w:tcMar>
            <w:vAlign w:val="top"/>
          </w:tcPr>
          <w:p>
            <w:pPr>
              <w:spacing w:after="20"/>
            </w:pPr>
            <w:r>
              <w:rPr>
                <w:b/>
                <w:sz w:val="18"/>
              </w:rPr>
              <w:t>Commercial / MSME</w:t>
            </w:r>
          </w:p>
        </w:tc>
        <w:tc>
          <w:tcPr>
            <w:tcW w:type="dxa" w:w="3024"/>
            <w:tcMar>
              <w:top w:w="60" w:type="dxa"/>
              <w:left w:w="110" w:type="dxa"/>
              <w:bottom w:w="60" w:type="dxa"/>
              <w:right w:w="110" w:type="dxa"/>
            </w:tcMar>
            <w:vAlign w:val="top"/>
          </w:tcPr>
          <w:p>
            <w:pPr>
              <w:spacing w:after="20"/>
            </w:pPr>
            <w:r>
              <w:rPr>
                <w:sz w:val="18"/>
              </w:rPr>
              <w:t>Mediation and/or arbitration</w:t>
            </w:r>
          </w:p>
        </w:tc>
        <w:tc>
          <w:tcPr>
            <w:tcW w:type="dxa" w:w="4320"/>
            <w:tcMar>
              <w:top w:w="60" w:type="dxa"/>
              <w:left w:w="110" w:type="dxa"/>
              <w:bottom w:w="60" w:type="dxa"/>
              <w:right w:w="110" w:type="dxa"/>
            </w:tcMar>
            <w:vAlign w:val="top"/>
          </w:tcPr>
          <w:p>
            <w:pPr>
              <w:spacing w:after="20"/>
            </w:pPr>
            <w:r>
              <w:rPr>
                <w:sz w:val="18"/>
              </w:rPr>
              <w:t>Clause library, multi-party, tribunal constitution, reasoned-award workflow, MSEFC track</w:t>
            </w:r>
          </w:p>
        </w:tc>
      </w:tr>
      <w:tr>
        <w:tc>
          <w:tcPr>
            <w:tcW w:type="dxa" w:w="2016"/>
            <w:shd w:val="clear" w:color="auto" w:fill="EAF1F6"/>
            <w:tcMar>
              <w:top w:w="60" w:type="dxa"/>
              <w:left w:w="110" w:type="dxa"/>
              <w:bottom w:w="60" w:type="dxa"/>
              <w:right w:w="110" w:type="dxa"/>
            </w:tcMar>
            <w:vAlign w:val="top"/>
          </w:tcPr>
          <w:p>
            <w:pPr>
              <w:spacing w:after="20"/>
            </w:pPr>
            <w:r>
              <w:rPr>
                <w:b/>
                <w:sz w:val="18"/>
              </w:rPr>
              <w:t>Grievance / POSH</w:t>
            </w:r>
          </w:p>
        </w:tc>
        <w:tc>
          <w:tcPr>
            <w:tcW w:type="dxa" w:w="3024"/>
            <w:shd w:val="clear" w:color="auto" w:fill="EAF1F6"/>
            <w:tcMar>
              <w:top w:w="60" w:type="dxa"/>
              <w:left w:w="110" w:type="dxa"/>
              <w:bottom w:w="60" w:type="dxa"/>
              <w:right w:w="110" w:type="dxa"/>
            </w:tcMar>
            <w:vAlign w:val="top"/>
          </w:tcPr>
          <w:p>
            <w:pPr>
              <w:spacing w:after="20"/>
            </w:pPr>
            <w:r>
              <w:rPr>
                <w:sz w:val="18"/>
              </w:rPr>
              <w:t>Internal inquiry → EDRS escalation</w:t>
            </w:r>
          </w:p>
        </w:tc>
        <w:tc>
          <w:tcPr>
            <w:tcW w:type="dxa" w:w="4320"/>
            <w:shd w:val="clear" w:color="auto" w:fill="EAF1F6"/>
            <w:tcMar>
              <w:top w:w="60" w:type="dxa"/>
              <w:left w:w="110" w:type="dxa"/>
              <w:bottom w:w="60" w:type="dxa"/>
              <w:right w:w="110" w:type="dxa"/>
            </w:tcMar>
            <w:vAlign w:val="top"/>
          </w:tcPr>
          <w:p>
            <w:pPr>
              <w:spacing w:after="20"/>
            </w:pPr>
            <w:r>
              <w:rPr>
                <w:sz w:val="18"/>
              </w:rPr>
              <w:t>IC workspace, 90-day clock, heightened confidentiality, annual-report support</w:t>
            </w:r>
          </w:p>
        </w:tc>
      </w:tr>
      <w:tr>
        <w:tc>
          <w:tcPr>
            <w:tcW w:type="dxa" w:w="2016"/>
            <w:tcMar>
              <w:top w:w="60" w:type="dxa"/>
              <w:left w:w="110" w:type="dxa"/>
              <w:bottom w:w="60" w:type="dxa"/>
              <w:right w:w="110" w:type="dxa"/>
            </w:tcMar>
            <w:vAlign w:val="top"/>
          </w:tcPr>
          <w:p>
            <w:pPr>
              <w:spacing w:after="20"/>
            </w:pPr>
            <w:r>
              <w:rPr>
                <w:b/>
                <w:sz w:val="18"/>
              </w:rPr>
              <w:t>Consumer</w:t>
            </w:r>
          </w:p>
        </w:tc>
        <w:tc>
          <w:tcPr>
            <w:tcW w:type="dxa" w:w="3024"/>
            <w:tcMar>
              <w:top w:w="60" w:type="dxa"/>
              <w:left w:w="110" w:type="dxa"/>
              <w:bottom w:w="60" w:type="dxa"/>
              <w:right w:w="110" w:type="dxa"/>
            </w:tcMar>
            <w:vAlign w:val="top"/>
          </w:tcPr>
          <w:p>
            <w:pPr>
              <w:spacing w:after="20"/>
            </w:pPr>
            <w:r>
              <w:rPr>
                <w:sz w:val="18"/>
              </w:rPr>
              <w:t>Mediation/conciliation</w:t>
            </w:r>
          </w:p>
        </w:tc>
        <w:tc>
          <w:tcPr>
            <w:tcW w:type="dxa" w:w="4320"/>
            <w:tcMar>
              <w:top w:w="60" w:type="dxa"/>
              <w:left w:w="110" w:type="dxa"/>
              <w:bottom w:w="60" w:type="dxa"/>
              <w:right w:w="110" w:type="dxa"/>
            </w:tcMar>
            <w:vAlign w:val="top"/>
          </w:tcPr>
          <w:p>
            <w:pPr>
              <w:spacing w:after="20"/>
            </w:pPr>
            <w:r>
              <w:rPr>
                <w:sz w:val="18"/>
              </w:rPr>
              <w:t>Pre-institution mediation, e-Daakhil interoperability, high-volume templates</w:t>
            </w:r>
          </w:p>
        </w:tc>
      </w:tr>
      <w:tr>
        <w:tc>
          <w:tcPr>
            <w:tcW w:type="dxa" w:w="2016"/>
            <w:shd w:val="clear" w:color="auto" w:fill="EAF1F6"/>
            <w:tcMar>
              <w:top w:w="60" w:type="dxa"/>
              <w:left w:w="110" w:type="dxa"/>
              <w:bottom w:w="60" w:type="dxa"/>
              <w:right w:w="110" w:type="dxa"/>
            </w:tcMar>
            <w:vAlign w:val="top"/>
          </w:tcPr>
          <w:p>
            <w:pPr>
              <w:spacing w:after="20"/>
            </w:pPr>
            <w:r>
              <w:rPr>
                <w:b/>
                <w:sz w:val="18"/>
              </w:rPr>
              <w:t>Securities</w:t>
            </w:r>
          </w:p>
        </w:tc>
        <w:tc>
          <w:tcPr>
            <w:tcW w:type="dxa" w:w="3024"/>
            <w:shd w:val="clear" w:color="auto" w:fill="EAF1F6"/>
            <w:tcMar>
              <w:top w:w="60" w:type="dxa"/>
              <w:left w:w="110" w:type="dxa"/>
              <w:bottom w:w="60" w:type="dxa"/>
              <w:right w:w="110" w:type="dxa"/>
            </w:tcMar>
            <w:vAlign w:val="top"/>
          </w:tcPr>
          <w:p>
            <w:pPr>
              <w:spacing w:after="20"/>
            </w:pPr>
            <w:r>
              <w:rPr>
                <w:sz w:val="18"/>
              </w:rPr>
              <w:t>Conciliation → arbitration</w:t>
            </w:r>
          </w:p>
        </w:tc>
        <w:tc>
          <w:tcPr>
            <w:tcW w:type="dxa" w:w="4320"/>
            <w:shd w:val="clear" w:color="auto" w:fill="EAF1F6"/>
            <w:tcMar>
              <w:top w:w="60" w:type="dxa"/>
              <w:left w:w="110" w:type="dxa"/>
              <w:bottom w:w="60" w:type="dxa"/>
              <w:right w:w="110" w:type="dxa"/>
            </w:tcMar>
            <w:vAlign w:val="top"/>
          </w:tcPr>
          <w:p>
            <w:pPr>
              <w:spacing w:after="20"/>
            </w:pPr>
            <w:r>
              <w:rPr>
                <w:sz w:val="18"/>
              </w:rPr>
              <w:t>SEBI SMART-ODR sequencing, statutory clocks, MII/intermediary SSO</w:t>
            </w:r>
          </w:p>
        </w:tc>
      </w:tr>
      <w:tr>
        <w:tc>
          <w:tcPr>
            <w:tcW w:type="dxa" w:w="2016"/>
            <w:tcMar>
              <w:top w:w="60" w:type="dxa"/>
              <w:left w:w="110" w:type="dxa"/>
              <w:bottom w:w="60" w:type="dxa"/>
              <w:right w:w="110" w:type="dxa"/>
            </w:tcMar>
            <w:vAlign w:val="top"/>
          </w:tcPr>
          <w:p>
            <w:pPr>
              <w:spacing w:after="20"/>
            </w:pPr>
            <w:r>
              <w:rPr>
                <w:b/>
                <w:sz w:val="18"/>
              </w:rPr>
              <w:t>International</w:t>
            </w:r>
          </w:p>
        </w:tc>
        <w:tc>
          <w:tcPr>
            <w:tcW w:type="dxa" w:w="3024"/>
            <w:tcMar>
              <w:top w:w="60" w:type="dxa"/>
              <w:left w:w="110" w:type="dxa"/>
              <w:bottom w:w="60" w:type="dxa"/>
              <w:right w:w="110" w:type="dxa"/>
            </w:tcMar>
            <w:vAlign w:val="top"/>
          </w:tcPr>
          <w:p>
            <w:pPr>
              <w:spacing w:after="20"/>
            </w:pPr>
            <w:r>
              <w:rPr>
                <w:sz w:val="18"/>
              </w:rPr>
              <w:t>Arbitration / mediation</w:t>
            </w:r>
          </w:p>
        </w:tc>
        <w:tc>
          <w:tcPr>
            <w:tcW w:type="dxa" w:w="4320"/>
            <w:tcMar>
              <w:top w:w="60" w:type="dxa"/>
              <w:left w:w="110" w:type="dxa"/>
              <w:bottom w:w="60" w:type="dxa"/>
              <w:right w:w="110" w:type="dxa"/>
            </w:tcMar>
            <w:vAlign w:val="top"/>
          </w:tcPr>
          <w:p>
            <w:pPr>
              <w:spacing w:after="20"/>
            </w:pPr>
            <w:r>
              <w:rPr>
                <w:sz w:val="18"/>
              </w:rPr>
              <w:t>Seat &amp; governing-law selection, language, cross-border enforcement packaging</w:t>
            </w:r>
          </w:p>
        </w:tc>
      </w:tr>
    </w:tbl>
    <w:p>
      <w:pPr>
        <w:spacing w:after="40"/>
      </w:pPr>
    </w:p>
    <w:p>
      <w:pPr>
        <w:pStyle w:val="Heading1"/>
      </w:pPr>
      <w:r>
        <w:t>5. Solution Overview &amp; Architecture Principles</w:t>
      </w:r>
    </w:p>
    <w:p>
      <w:pPr>
        <w:pStyle w:val="Heading2"/>
      </w:pPr>
      <w:r>
        <w:t>5.1 Architecture principles</w:t>
      </w:r>
    </w:p>
    <w:p>
      <w:pPr>
        <w:pStyle w:val="ListNumber"/>
      </w:pPr>
      <w:r>
        <w:t>API-first — every capability is a documented API before it is a screen; enables embeds, white-label and bulk integration.</w:t>
      </w:r>
    </w:p>
    <w:p>
      <w:pPr>
        <w:pStyle w:val="ListNumber"/>
      </w:pPr>
      <w:r>
        <w:t>Multi-tenant by design — strong isolation (EDRS, each Private Court, each enterprise) over a shared engine with per-tenant configuration.</w:t>
      </w:r>
    </w:p>
    <w:p>
      <w:pPr>
        <w:pStyle w:val="ListNumber"/>
      </w:pPr>
      <w:r>
        <w:t>Configuration over code — timelines, panels, fees, templates, notices and pathways are data; the basis for multi-segment and multi-jurisdiction.</w:t>
      </w:r>
    </w:p>
    <w:p>
      <w:pPr>
        <w:pStyle w:val="ListNumber"/>
      </w:pPr>
      <w:r>
        <w:t>Confidentiality tiers — every case carries a tier driving encryption, access and redaction (POSH/marital = highest).</w:t>
      </w:r>
    </w:p>
    <w:p>
      <w:pPr>
        <w:pStyle w:val="ListNumber"/>
      </w:pPr>
      <w:r>
        <w:t>Immutable audit — every material action is recorded in an append-only, tamper-evident log (hash-chained / WORM).</w:t>
      </w:r>
    </w:p>
    <w:p>
      <w:pPr>
        <w:pStyle w:val="ListNumber"/>
      </w:pPr>
      <w:r>
        <w:t>Event-driven core — domain events (CaseFiled, NeutralAppointed, AwardSigned…) drive notifications, SLAs, analytics and integrations.</w:t>
      </w:r>
    </w:p>
    <w:p>
      <w:pPr>
        <w:pStyle w:val="ListNumber"/>
      </w:pPr>
      <w:r>
        <w:t>Privacy &amp; data residency — DPDP-compliant; India data stays in India; per-jurisdiction residency zones for global expansion.</w:t>
      </w:r>
    </w:p>
    <w:p>
      <w:pPr>
        <w:pStyle w:val="ListNumber"/>
      </w:pPr>
      <w:r>
        <w:t>Human-in-the-loop AI — AI assists (triage, summarisation, drafting, Dispute Explorer) but never decides; all output is reviewable and attributed.</w:t>
      </w:r>
    </w:p>
    <w:p>
      <w:pPr>
        <w:pStyle w:val="ListNumber"/>
      </w:pPr>
      <w:r>
        <w:t>Accessibility &amp; vernacular — WCAG 2.2 AA, multilingual, low-bandwidth and assisted channels for access to justice.</w:t>
      </w:r>
    </w:p>
    <w:p>
      <w:pPr>
        <w:pStyle w:val="ListNumber"/>
      </w:pPr>
      <w:r>
        <w:t>Security &amp; compliance by default — encryption everywhere, least privilege, ISO 27001 / SOC 2 trajectory, certified e-sign and e-stamp integrity.</w:t>
      </w:r>
    </w:p>
    <w:p>
      <w:pPr>
        <w:pStyle w:val="Heading2"/>
      </w:pPr>
      <w:r>
        <w:t>5.2 Quality attributes (non-functional targets)</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2448"/>
            <w:shd w:val="clear" w:color="auto" w:fill="0B2E4F"/>
            <w:tcMar>
              <w:top w:w="60" w:type="dxa"/>
              <w:left w:w="110" w:type="dxa"/>
              <w:bottom w:w="60" w:type="dxa"/>
              <w:right w:w="110" w:type="dxa"/>
            </w:tcMar>
            <w:vAlign w:val="center"/>
          </w:tcPr>
          <w:p>
            <w:pPr>
              <w:spacing w:after="20"/>
            </w:pPr>
            <w:r>
              <w:rPr>
                <w:b/>
                <w:color w:val="FFFFFF"/>
                <w:sz w:val="18"/>
              </w:rPr>
              <w:t>Attribute</w:t>
            </w:r>
          </w:p>
        </w:tc>
        <w:tc>
          <w:tcPr>
            <w:tcW w:type="dxa" w:w="6912"/>
            <w:shd w:val="clear" w:color="auto" w:fill="0B2E4F"/>
            <w:tcMar>
              <w:top w:w="60" w:type="dxa"/>
              <w:left w:w="110" w:type="dxa"/>
              <w:bottom w:w="60" w:type="dxa"/>
              <w:right w:w="110" w:type="dxa"/>
            </w:tcMar>
            <w:vAlign w:val="center"/>
          </w:tcPr>
          <w:p>
            <w:pPr>
              <w:spacing w:after="20"/>
            </w:pPr>
            <w:r>
              <w:rPr>
                <w:b/>
                <w:color w:val="FFFFFF"/>
                <w:sz w:val="18"/>
              </w:rPr>
              <w:t>Target</w:t>
            </w:r>
          </w:p>
        </w:tc>
      </w:tr>
      <w:tr>
        <w:tc>
          <w:tcPr>
            <w:tcW w:type="dxa" w:w="2448"/>
            <w:tcMar>
              <w:top w:w="60" w:type="dxa"/>
              <w:left w:w="110" w:type="dxa"/>
              <w:bottom w:w="60" w:type="dxa"/>
              <w:right w:w="110" w:type="dxa"/>
            </w:tcMar>
            <w:vAlign w:val="top"/>
          </w:tcPr>
          <w:p>
            <w:pPr>
              <w:spacing w:after="20"/>
            </w:pPr>
            <w:r>
              <w:rPr>
                <w:b/>
                <w:sz w:val="18"/>
              </w:rPr>
              <w:t>Availability</w:t>
            </w:r>
          </w:p>
        </w:tc>
        <w:tc>
          <w:tcPr>
            <w:tcW w:type="dxa" w:w="6912"/>
            <w:tcMar>
              <w:top w:w="60" w:type="dxa"/>
              <w:left w:w="110" w:type="dxa"/>
              <w:bottom w:w="60" w:type="dxa"/>
              <w:right w:w="110" w:type="dxa"/>
            </w:tcMar>
            <w:vAlign w:val="top"/>
          </w:tcPr>
          <w:p>
            <w:pPr>
              <w:spacing w:after="20"/>
            </w:pPr>
            <w:r>
              <w:rPr>
                <w:sz w:val="18"/>
              </w:rPr>
              <w:t>99.9% for core case services; graceful degradation if video/AI unavailable</w:t>
            </w:r>
          </w:p>
        </w:tc>
      </w:tr>
      <w:tr>
        <w:tc>
          <w:tcPr>
            <w:tcW w:type="dxa" w:w="2448"/>
            <w:shd w:val="clear" w:color="auto" w:fill="EAF1F6"/>
            <w:tcMar>
              <w:top w:w="60" w:type="dxa"/>
              <w:left w:w="110" w:type="dxa"/>
              <w:bottom w:w="60" w:type="dxa"/>
              <w:right w:w="110" w:type="dxa"/>
            </w:tcMar>
            <w:vAlign w:val="top"/>
          </w:tcPr>
          <w:p>
            <w:pPr>
              <w:spacing w:after="20"/>
            </w:pPr>
            <w:r>
              <w:rPr>
                <w:b/>
                <w:sz w:val="18"/>
              </w:rPr>
              <w:t>Performance</w:t>
            </w:r>
          </w:p>
        </w:tc>
        <w:tc>
          <w:tcPr>
            <w:tcW w:type="dxa" w:w="6912"/>
            <w:shd w:val="clear" w:color="auto" w:fill="EAF1F6"/>
            <w:tcMar>
              <w:top w:w="60" w:type="dxa"/>
              <w:left w:w="110" w:type="dxa"/>
              <w:bottom w:w="60" w:type="dxa"/>
              <w:right w:w="110" w:type="dxa"/>
            </w:tcMar>
            <w:vAlign w:val="top"/>
          </w:tcPr>
          <w:p>
            <w:pPr>
              <w:spacing w:after="20"/>
            </w:pPr>
            <w:r>
              <w:rPr>
                <w:sz w:val="18"/>
              </w:rPr>
              <w:t>P95 API &lt; 400 ms; document/list views &lt; 2 s on low bandwidth</w:t>
            </w:r>
          </w:p>
        </w:tc>
      </w:tr>
      <w:tr>
        <w:tc>
          <w:tcPr>
            <w:tcW w:type="dxa" w:w="2448"/>
            <w:tcMar>
              <w:top w:w="60" w:type="dxa"/>
              <w:left w:w="110" w:type="dxa"/>
              <w:bottom w:w="60" w:type="dxa"/>
              <w:right w:w="110" w:type="dxa"/>
            </w:tcMar>
            <w:vAlign w:val="top"/>
          </w:tcPr>
          <w:p>
            <w:pPr>
              <w:spacing w:after="20"/>
            </w:pPr>
            <w:r>
              <w:rPr>
                <w:b/>
                <w:sz w:val="18"/>
              </w:rPr>
              <w:t>Recovery</w:t>
            </w:r>
          </w:p>
        </w:tc>
        <w:tc>
          <w:tcPr>
            <w:tcW w:type="dxa" w:w="6912"/>
            <w:tcMar>
              <w:top w:w="60" w:type="dxa"/>
              <w:left w:w="110" w:type="dxa"/>
              <w:bottom w:w="60" w:type="dxa"/>
              <w:right w:w="110" w:type="dxa"/>
            </w:tcMar>
            <w:vAlign w:val="top"/>
          </w:tcPr>
          <w:p>
            <w:pPr>
              <w:spacing w:after="20"/>
            </w:pPr>
            <w:r>
              <w:rPr>
                <w:sz w:val="18"/>
              </w:rPr>
              <w:t>RPO ≤ 15 min, RTO ≤ 2 h for core case services; audit log &amp; compliance clock recover last</w:t>
            </w:r>
          </w:p>
        </w:tc>
      </w:tr>
      <w:tr>
        <w:tc>
          <w:tcPr>
            <w:tcW w:type="dxa" w:w="2448"/>
            <w:shd w:val="clear" w:color="auto" w:fill="EAF1F6"/>
            <w:tcMar>
              <w:top w:w="60" w:type="dxa"/>
              <w:left w:w="110" w:type="dxa"/>
              <w:bottom w:w="60" w:type="dxa"/>
              <w:right w:w="110" w:type="dxa"/>
            </w:tcMar>
            <w:vAlign w:val="top"/>
          </w:tcPr>
          <w:p>
            <w:pPr>
              <w:spacing w:after="20"/>
            </w:pPr>
            <w:r>
              <w:rPr>
                <w:b/>
                <w:sz w:val="18"/>
              </w:rPr>
              <w:t>Scalability</w:t>
            </w:r>
          </w:p>
        </w:tc>
        <w:tc>
          <w:tcPr>
            <w:tcW w:type="dxa" w:w="6912"/>
            <w:shd w:val="clear" w:color="auto" w:fill="EAF1F6"/>
            <w:tcMar>
              <w:top w:w="60" w:type="dxa"/>
              <w:left w:w="110" w:type="dxa"/>
              <w:bottom w:w="60" w:type="dxa"/>
              <w:right w:w="110" w:type="dxa"/>
            </w:tcMar>
            <w:vAlign w:val="top"/>
          </w:tcPr>
          <w:p>
            <w:pPr>
              <w:spacing w:after="20"/>
            </w:pPr>
            <w:r>
              <w:rPr>
                <w:sz w:val="18"/>
              </w:rPr>
              <w:t>Bulk NBFC intake of 10k+ cases per batch; horizontal scale of stateless services</w:t>
            </w:r>
          </w:p>
        </w:tc>
      </w:tr>
      <w:tr>
        <w:tc>
          <w:tcPr>
            <w:tcW w:type="dxa" w:w="2448"/>
            <w:tcMar>
              <w:top w:w="60" w:type="dxa"/>
              <w:left w:w="110" w:type="dxa"/>
              <w:bottom w:w="60" w:type="dxa"/>
              <w:right w:w="110" w:type="dxa"/>
            </w:tcMar>
            <w:vAlign w:val="top"/>
          </w:tcPr>
          <w:p>
            <w:pPr>
              <w:spacing w:after="20"/>
            </w:pPr>
            <w:r>
              <w:rPr>
                <w:b/>
                <w:sz w:val="18"/>
              </w:rPr>
              <w:t>Security</w:t>
            </w:r>
          </w:p>
        </w:tc>
        <w:tc>
          <w:tcPr>
            <w:tcW w:type="dxa" w:w="6912"/>
            <w:tcMar>
              <w:top w:w="60" w:type="dxa"/>
              <w:left w:w="110" w:type="dxa"/>
              <w:bottom w:w="60" w:type="dxa"/>
              <w:right w:w="110" w:type="dxa"/>
            </w:tcMar>
            <w:vAlign w:val="top"/>
          </w:tcPr>
          <w:p>
            <w:pPr>
              <w:spacing w:after="20"/>
            </w:pPr>
            <w:r>
              <w:rPr>
                <w:sz w:val="18"/>
              </w:rPr>
              <w:t>Encryption in transit &amp; at rest; field-level encryption for POSH/marital identity data</w:t>
            </w:r>
          </w:p>
        </w:tc>
      </w:tr>
      <w:tr>
        <w:tc>
          <w:tcPr>
            <w:tcW w:type="dxa" w:w="2448"/>
            <w:shd w:val="clear" w:color="auto" w:fill="EAF1F6"/>
            <w:tcMar>
              <w:top w:w="60" w:type="dxa"/>
              <w:left w:w="110" w:type="dxa"/>
              <w:bottom w:w="60" w:type="dxa"/>
              <w:right w:w="110" w:type="dxa"/>
            </w:tcMar>
            <w:vAlign w:val="top"/>
          </w:tcPr>
          <w:p>
            <w:pPr>
              <w:spacing w:after="20"/>
            </w:pPr>
            <w:r>
              <w:rPr>
                <w:b/>
                <w:sz w:val="18"/>
              </w:rPr>
              <w:t>Auditability</w:t>
            </w:r>
          </w:p>
        </w:tc>
        <w:tc>
          <w:tcPr>
            <w:tcW w:type="dxa" w:w="6912"/>
            <w:shd w:val="clear" w:color="auto" w:fill="EAF1F6"/>
            <w:tcMar>
              <w:top w:w="60" w:type="dxa"/>
              <w:left w:w="110" w:type="dxa"/>
              <w:bottom w:w="60" w:type="dxa"/>
              <w:right w:w="110" w:type="dxa"/>
            </w:tcMar>
            <w:vAlign w:val="top"/>
          </w:tcPr>
          <w:p>
            <w:pPr>
              <w:spacing w:after="20"/>
            </w:pPr>
            <w:r>
              <w:rPr>
                <w:sz w:val="18"/>
              </w:rPr>
              <w:t>100% of material actions in the immutable log; exportable evidence bundles</w:t>
            </w:r>
          </w:p>
        </w:tc>
      </w:tr>
      <w:tr>
        <w:tc>
          <w:tcPr>
            <w:tcW w:type="dxa" w:w="2448"/>
            <w:tcMar>
              <w:top w:w="60" w:type="dxa"/>
              <w:left w:w="110" w:type="dxa"/>
              <w:bottom w:w="60" w:type="dxa"/>
              <w:right w:w="110" w:type="dxa"/>
            </w:tcMar>
            <w:vAlign w:val="top"/>
          </w:tcPr>
          <w:p>
            <w:pPr>
              <w:spacing w:after="20"/>
            </w:pPr>
            <w:r>
              <w:rPr>
                <w:b/>
                <w:sz w:val="18"/>
              </w:rPr>
              <w:t>Accessibility</w:t>
            </w:r>
          </w:p>
        </w:tc>
        <w:tc>
          <w:tcPr>
            <w:tcW w:type="dxa" w:w="6912"/>
            <w:tcMar>
              <w:top w:w="60" w:type="dxa"/>
              <w:left w:w="110" w:type="dxa"/>
              <w:bottom w:w="60" w:type="dxa"/>
              <w:right w:w="110" w:type="dxa"/>
            </w:tcMar>
            <w:vAlign w:val="top"/>
          </w:tcPr>
          <w:p>
            <w:pPr>
              <w:spacing w:after="20"/>
            </w:pPr>
            <w:r>
              <w:rPr>
                <w:sz w:val="18"/>
              </w:rPr>
              <w:t>WCAG 2.2 AA; screen-reader, keyboard-only, captioned hearings, vernacular UI</w:t>
            </w:r>
          </w:p>
        </w:tc>
      </w:tr>
    </w:tbl>
    <w:p>
      <w:pPr>
        <w:spacing w:after="40"/>
      </w:pPr>
    </w:p>
    <w:p>
      <w:pPr>
        <w:pStyle w:val="Heading1"/>
      </w:pPr>
      <w:r>
        <w:t>6. Functional &amp; Application Architecture</w:t>
      </w:r>
    </w:p>
    <w:p>
      <w:pPr>
        <w:pStyle w:val="Heading2"/>
      </w:pPr>
      <w:r>
        <w:t>6.1 Functional module map</w:t>
      </w:r>
    </w:p>
    <w:p>
      <w:pPr>
        <w:spacing w:after="120"/>
      </w:pPr>
      <w:r>
        <w:rPr>
          <w:b w:val="0"/>
        </w:rPr>
        <w:t>The platform is organised into functional modules, each owning a bounded set of capabilities and data. Modules communicate through documented APIs and domain events, never by reaching into each other's data.</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3024"/>
            <w:shd w:val="clear" w:color="auto" w:fill="0B2E4F"/>
            <w:tcMar>
              <w:top w:w="60" w:type="dxa"/>
              <w:left w:w="110" w:type="dxa"/>
              <w:bottom w:w="60" w:type="dxa"/>
              <w:right w:w="110" w:type="dxa"/>
            </w:tcMar>
            <w:vAlign w:val="center"/>
          </w:tcPr>
          <w:p>
            <w:pPr>
              <w:spacing w:after="20"/>
            </w:pPr>
            <w:r>
              <w:rPr>
                <w:b/>
                <w:color w:val="FFFFFF"/>
                <w:sz w:val="18"/>
              </w:rPr>
              <w:t>Module</w:t>
            </w:r>
          </w:p>
        </w:tc>
        <w:tc>
          <w:tcPr>
            <w:tcW w:type="dxa" w:w="6336"/>
            <w:shd w:val="clear" w:color="auto" w:fill="0B2E4F"/>
            <w:tcMar>
              <w:top w:w="60" w:type="dxa"/>
              <w:left w:w="110" w:type="dxa"/>
              <w:bottom w:w="60" w:type="dxa"/>
              <w:right w:w="110" w:type="dxa"/>
            </w:tcMar>
            <w:vAlign w:val="center"/>
          </w:tcPr>
          <w:p>
            <w:pPr>
              <w:spacing w:after="20"/>
            </w:pPr>
            <w:r>
              <w:rPr>
                <w:b/>
                <w:color w:val="FFFFFF"/>
                <w:sz w:val="18"/>
              </w:rPr>
              <w:t>Responsibility</w:t>
            </w:r>
          </w:p>
        </w:tc>
      </w:tr>
      <w:tr>
        <w:tc>
          <w:tcPr>
            <w:tcW w:type="dxa" w:w="3024"/>
            <w:tcMar>
              <w:top w:w="60" w:type="dxa"/>
              <w:left w:w="110" w:type="dxa"/>
              <w:bottom w:w="60" w:type="dxa"/>
              <w:right w:w="110" w:type="dxa"/>
            </w:tcMar>
            <w:vAlign w:val="top"/>
          </w:tcPr>
          <w:p>
            <w:pPr>
              <w:spacing w:after="20"/>
            </w:pPr>
            <w:r>
              <w:rPr>
                <w:b/>
                <w:sz w:val="18"/>
              </w:rPr>
              <w:t>Identity &amp; Access</w:t>
            </w:r>
          </w:p>
        </w:tc>
        <w:tc>
          <w:tcPr>
            <w:tcW w:type="dxa" w:w="6336"/>
            <w:tcMar>
              <w:top w:w="60" w:type="dxa"/>
              <w:left w:w="110" w:type="dxa"/>
              <w:bottom w:w="60" w:type="dxa"/>
              <w:right w:w="110" w:type="dxa"/>
            </w:tcMar>
            <w:vAlign w:val="top"/>
          </w:tcPr>
          <w:p>
            <w:pPr>
              <w:spacing w:after="20"/>
            </w:pPr>
            <w:r>
              <w:rPr>
                <w:sz w:val="18"/>
              </w:rPr>
              <w:t>Registration, KYC/KYB, authentication (MFA), SSO, RBAC/ABAC, consent.</w:t>
            </w:r>
          </w:p>
        </w:tc>
      </w:tr>
      <w:tr>
        <w:tc>
          <w:tcPr>
            <w:tcW w:type="dxa" w:w="3024"/>
            <w:shd w:val="clear" w:color="auto" w:fill="EAF1F6"/>
            <w:tcMar>
              <w:top w:w="60" w:type="dxa"/>
              <w:left w:w="110" w:type="dxa"/>
              <w:bottom w:w="60" w:type="dxa"/>
              <w:right w:w="110" w:type="dxa"/>
            </w:tcMar>
            <w:vAlign w:val="top"/>
          </w:tcPr>
          <w:p>
            <w:pPr>
              <w:spacing w:after="20"/>
            </w:pPr>
            <w:r>
              <w:rPr>
                <w:b/>
                <w:sz w:val="18"/>
              </w:rPr>
              <w:t>Party &amp; Entity</w:t>
            </w:r>
          </w:p>
        </w:tc>
        <w:tc>
          <w:tcPr>
            <w:tcW w:type="dxa" w:w="6336"/>
            <w:shd w:val="clear" w:color="auto" w:fill="EAF1F6"/>
            <w:tcMar>
              <w:top w:w="60" w:type="dxa"/>
              <w:left w:w="110" w:type="dxa"/>
              <w:bottom w:w="60" w:type="dxa"/>
              <w:right w:w="110" w:type="dxa"/>
            </w:tcMar>
            <w:vAlign w:val="top"/>
          </w:tcPr>
          <w:p>
            <w:pPr>
              <w:spacing w:after="20"/>
            </w:pPr>
            <w:r>
              <w:rPr>
                <w:sz w:val="18"/>
              </w:rPr>
              <w:t>Individual and organisation profiles, representatives, mandates.</w:t>
            </w:r>
          </w:p>
        </w:tc>
      </w:tr>
      <w:tr>
        <w:tc>
          <w:tcPr>
            <w:tcW w:type="dxa" w:w="3024"/>
            <w:tcMar>
              <w:top w:w="60" w:type="dxa"/>
              <w:left w:w="110" w:type="dxa"/>
              <w:bottom w:w="60" w:type="dxa"/>
              <w:right w:w="110" w:type="dxa"/>
            </w:tcMar>
            <w:vAlign w:val="top"/>
          </w:tcPr>
          <w:p>
            <w:pPr>
              <w:spacing w:after="20"/>
            </w:pPr>
            <w:r>
              <w:rPr>
                <w:b/>
                <w:sz w:val="18"/>
              </w:rPr>
              <w:t>Intake &amp; Filing</w:t>
            </w:r>
          </w:p>
        </w:tc>
        <w:tc>
          <w:tcPr>
            <w:tcW w:type="dxa" w:w="6336"/>
            <w:tcMar>
              <w:top w:w="60" w:type="dxa"/>
              <w:left w:w="110" w:type="dxa"/>
              <w:bottom w:w="60" w:type="dxa"/>
              <w:right w:w="110" w:type="dxa"/>
            </w:tcMar>
            <w:vAlign w:val="top"/>
          </w:tcPr>
          <w:p>
            <w:pPr>
              <w:spacing w:after="20"/>
            </w:pPr>
            <w:r>
              <w:rPr>
                <w:sz w:val="18"/>
              </w:rPr>
              <w:t>Case &amp; response filing, dispute typing, clause capture, deficiency cure, Dispute Explorer hand-in.</w:t>
            </w:r>
          </w:p>
        </w:tc>
      </w:tr>
      <w:tr>
        <w:tc>
          <w:tcPr>
            <w:tcW w:type="dxa" w:w="3024"/>
            <w:shd w:val="clear" w:color="auto" w:fill="EAF1F6"/>
            <w:tcMar>
              <w:top w:w="60" w:type="dxa"/>
              <w:left w:w="110" w:type="dxa"/>
              <w:bottom w:w="60" w:type="dxa"/>
              <w:right w:w="110" w:type="dxa"/>
            </w:tcMar>
            <w:vAlign w:val="top"/>
          </w:tcPr>
          <w:p>
            <w:pPr>
              <w:spacing w:after="20"/>
            </w:pPr>
            <w:r>
              <w:rPr>
                <w:b/>
                <w:sz w:val="18"/>
              </w:rPr>
              <w:t>Case Management</w:t>
            </w:r>
          </w:p>
        </w:tc>
        <w:tc>
          <w:tcPr>
            <w:tcW w:type="dxa" w:w="6336"/>
            <w:shd w:val="clear" w:color="auto" w:fill="EAF1F6"/>
            <w:tcMar>
              <w:top w:w="60" w:type="dxa"/>
              <w:left w:w="110" w:type="dxa"/>
              <w:bottom w:w="60" w:type="dxa"/>
              <w:right w:w="110" w:type="dxa"/>
            </w:tcMar>
            <w:vAlign w:val="top"/>
          </w:tcPr>
          <w:p>
            <w:pPr>
              <w:spacing w:after="20"/>
            </w:pPr>
            <w:r>
              <w:rPr>
                <w:sz w:val="18"/>
              </w:rPr>
              <w:t>Case record, state machine, compliance clocks, document control, consolidation.</w:t>
            </w:r>
          </w:p>
        </w:tc>
      </w:tr>
      <w:tr>
        <w:tc>
          <w:tcPr>
            <w:tcW w:type="dxa" w:w="3024"/>
            <w:tcMar>
              <w:top w:w="60" w:type="dxa"/>
              <w:left w:w="110" w:type="dxa"/>
              <w:bottom w:w="60" w:type="dxa"/>
              <w:right w:w="110" w:type="dxa"/>
            </w:tcMar>
            <w:vAlign w:val="top"/>
          </w:tcPr>
          <w:p>
            <w:pPr>
              <w:spacing w:after="20"/>
            </w:pPr>
            <w:r>
              <w:rPr>
                <w:b/>
                <w:sz w:val="18"/>
              </w:rPr>
              <w:t>Workflow &amp; Rules Engine</w:t>
            </w:r>
          </w:p>
        </w:tc>
        <w:tc>
          <w:tcPr>
            <w:tcW w:type="dxa" w:w="6336"/>
            <w:tcMar>
              <w:top w:w="60" w:type="dxa"/>
              <w:left w:w="110" w:type="dxa"/>
              <w:bottom w:w="60" w:type="dxa"/>
              <w:right w:w="110" w:type="dxa"/>
            </w:tcMar>
            <w:vAlign w:val="top"/>
          </w:tcPr>
          <w:p>
            <w:pPr>
              <w:spacing w:after="20"/>
            </w:pPr>
            <w:r>
              <w:rPr>
                <w:sz w:val="18"/>
              </w:rPr>
              <w:t>Configurable pathways, timelines, fee schedules, ruleset versioning.</w:t>
            </w:r>
          </w:p>
        </w:tc>
      </w:tr>
      <w:tr>
        <w:tc>
          <w:tcPr>
            <w:tcW w:type="dxa" w:w="3024"/>
            <w:shd w:val="clear" w:color="auto" w:fill="EAF1F6"/>
            <w:tcMar>
              <w:top w:w="60" w:type="dxa"/>
              <w:left w:w="110" w:type="dxa"/>
              <w:bottom w:w="60" w:type="dxa"/>
              <w:right w:w="110" w:type="dxa"/>
            </w:tcMar>
            <w:vAlign w:val="top"/>
          </w:tcPr>
          <w:p>
            <w:pPr>
              <w:spacing w:after="20"/>
            </w:pPr>
            <w:r>
              <w:rPr>
                <w:b/>
                <w:sz w:val="18"/>
              </w:rPr>
              <w:t>ODR Engine</w:t>
            </w:r>
          </w:p>
        </w:tc>
        <w:tc>
          <w:tcPr>
            <w:tcW w:type="dxa" w:w="6336"/>
            <w:shd w:val="clear" w:color="auto" w:fill="EAF1F6"/>
            <w:tcMar>
              <w:top w:w="60" w:type="dxa"/>
              <w:left w:w="110" w:type="dxa"/>
              <w:bottom w:w="60" w:type="dxa"/>
              <w:right w:w="110" w:type="dxa"/>
            </w:tcMar>
            <w:vAlign w:val="top"/>
          </w:tcPr>
          <w:p>
            <w:pPr>
              <w:spacing w:after="20"/>
            </w:pPr>
            <w:r>
              <w:rPr>
                <w:sz w:val="18"/>
              </w:rPr>
              <w:t>Negotiation, mediation, conciliation, arbitration proceedings (see EQR-02).</w:t>
            </w:r>
          </w:p>
        </w:tc>
      </w:tr>
      <w:tr>
        <w:tc>
          <w:tcPr>
            <w:tcW w:type="dxa" w:w="3024"/>
            <w:tcMar>
              <w:top w:w="60" w:type="dxa"/>
              <w:left w:w="110" w:type="dxa"/>
              <w:bottom w:w="60" w:type="dxa"/>
              <w:right w:w="110" w:type="dxa"/>
            </w:tcMar>
            <w:vAlign w:val="top"/>
          </w:tcPr>
          <w:p>
            <w:pPr>
              <w:spacing w:after="20"/>
            </w:pPr>
            <w:r>
              <w:rPr>
                <w:b/>
                <w:sz w:val="18"/>
              </w:rPr>
              <w:t>Neutral Management</w:t>
            </w:r>
          </w:p>
        </w:tc>
        <w:tc>
          <w:tcPr>
            <w:tcW w:type="dxa" w:w="6336"/>
            <w:tcMar>
              <w:top w:w="60" w:type="dxa"/>
              <w:left w:w="110" w:type="dxa"/>
              <w:bottom w:w="60" w:type="dxa"/>
              <w:right w:w="110" w:type="dxa"/>
            </w:tcMar>
            <w:vAlign w:val="top"/>
          </w:tcPr>
          <w:p>
            <w:pPr>
              <w:spacing w:after="20"/>
            </w:pPr>
            <w:r>
              <w:rPr>
                <w:sz w:val="18"/>
              </w:rPr>
              <w:t>Empanelment, allocation, conflicts, scorecards, payouts (see EQR-05).</w:t>
            </w:r>
          </w:p>
        </w:tc>
      </w:tr>
      <w:tr>
        <w:tc>
          <w:tcPr>
            <w:tcW w:type="dxa" w:w="3024"/>
            <w:shd w:val="clear" w:color="auto" w:fill="EAF1F6"/>
            <w:tcMar>
              <w:top w:w="60" w:type="dxa"/>
              <w:left w:w="110" w:type="dxa"/>
              <w:bottom w:w="60" w:type="dxa"/>
              <w:right w:w="110" w:type="dxa"/>
            </w:tcMar>
            <w:vAlign w:val="top"/>
          </w:tcPr>
          <w:p>
            <w:pPr>
              <w:spacing w:after="20"/>
            </w:pPr>
            <w:r>
              <w:rPr>
                <w:b/>
                <w:sz w:val="18"/>
              </w:rPr>
              <w:t>Hearing &amp; Sessions</w:t>
            </w:r>
          </w:p>
        </w:tc>
        <w:tc>
          <w:tcPr>
            <w:tcW w:type="dxa" w:w="6336"/>
            <w:shd w:val="clear" w:color="auto" w:fill="EAF1F6"/>
            <w:tcMar>
              <w:top w:w="60" w:type="dxa"/>
              <w:left w:w="110" w:type="dxa"/>
              <w:bottom w:w="60" w:type="dxa"/>
              <w:right w:w="110" w:type="dxa"/>
            </w:tcMar>
            <w:vAlign w:val="top"/>
          </w:tcPr>
          <w:p>
            <w:pPr>
              <w:spacing w:after="20"/>
            </w:pPr>
            <w:r>
              <w:rPr>
                <w:sz w:val="18"/>
              </w:rPr>
              <w:t>Scheduling, video/audio hearings, caucus, transcripts, recordings.</w:t>
            </w:r>
          </w:p>
        </w:tc>
      </w:tr>
      <w:tr>
        <w:tc>
          <w:tcPr>
            <w:tcW w:type="dxa" w:w="3024"/>
            <w:tcMar>
              <w:top w:w="60" w:type="dxa"/>
              <w:left w:w="110" w:type="dxa"/>
              <w:bottom w:w="60" w:type="dxa"/>
              <w:right w:w="110" w:type="dxa"/>
            </w:tcMar>
            <w:vAlign w:val="top"/>
          </w:tcPr>
          <w:p>
            <w:pPr>
              <w:spacing w:after="20"/>
            </w:pPr>
            <w:r>
              <w:rPr>
                <w:b/>
                <w:sz w:val="18"/>
              </w:rPr>
              <w:t>Evidence &amp; Documents</w:t>
            </w:r>
          </w:p>
        </w:tc>
        <w:tc>
          <w:tcPr>
            <w:tcW w:type="dxa" w:w="6336"/>
            <w:tcMar>
              <w:top w:w="60" w:type="dxa"/>
              <w:left w:w="110" w:type="dxa"/>
              <w:bottom w:w="60" w:type="dxa"/>
              <w:right w:w="110" w:type="dxa"/>
            </w:tcMar>
            <w:vAlign w:val="top"/>
          </w:tcPr>
          <w:p>
            <w:pPr>
              <w:spacing w:after="20"/>
            </w:pPr>
            <w:r>
              <w:rPr>
                <w:sz w:val="18"/>
              </w:rPr>
              <w:t>Upload, hashing, chain of custody, document-AI, DMS, versioning.</w:t>
            </w:r>
          </w:p>
        </w:tc>
      </w:tr>
      <w:tr>
        <w:tc>
          <w:tcPr>
            <w:tcW w:type="dxa" w:w="3024"/>
            <w:shd w:val="clear" w:color="auto" w:fill="EAF1F6"/>
            <w:tcMar>
              <w:top w:w="60" w:type="dxa"/>
              <w:left w:w="110" w:type="dxa"/>
              <w:bottom w:w="60" w:type="dxa"/>
              <w:right w:w="110" w:type="dxa"/>
            </w:tcMar>
            <w:vAlign w:val="top"/>
          </w:tcPr>
          <w:p>
            <w:pPr>
              <w:spacing w:after="20"/>
            </w:pPr>
            <w:r>
              <w:rPr>
                <w:b/>
                <w:sz w:val="18"/>
              </w:rPr>
              <w:t>Communication &amp; Notice</w:t>
            </w:r>
          </w:p>
        </w:tc>
        <w:tc>
          <w:tcPr>
            <w:tcW w:type="dxa" w:w="6336"/>
            <w:shd w:val="clear" w:color="auto" w:fill="EAF1F6"/>
            <w:tcMar>
              <w:top w:w="60" w:type="dxa"/>
              <w:left w:w="110" w:type="dxa"/>
              <w:bottom w:w="60" w:type="dxa"/>
              <w:right w:w="110" w:type="dxa"/>
            </w:tcMar>
            <w:vAlign w:val="top"/>
          </w:tcPr>
          <w:p>
            <w:pPr>
              <w:spacing w:after="20"/>
            </w:pPr>
            <w:r>
              <w:rPr>
                <w:sz w:val="18"/>
              </w:rPr>
              <w:t>On-platform messaging, legally-defensible service of process, multilingual notices.</w:t>
            </w:r>
          </w:p>
        </w:tc>
      </w:tr>
      <w:tr>
        <w:tc>
          <w:tcPr>
            <w:tcW w:type="dxa" w:w="3024"/>
            <w:tcMar>
              <w:top w:w="60" w:type="dxa"/>
              <w:left w:w="110" w:type="dxa"/>
              <w:bottom w:w="60" w:type="dxa"/>
              <w:right w:w="110" w:type="dxa"/>
            </w:tcMar>
            <w:vAlign w:val="top"/>
          </w:tcPr>
          <w:p>
            <w:pPr>
              <w:spacing w:after="20"/>
            </w:pPr>
            <w:r>
              <w:rPr>
                <w:b/>
                <w:sz w:val="18"/>
              </w:rPr>
              <w:t>Settlement &amp; Award</w:t>
            </w:r>
          </w:p>
        </w:tc>
        <w:tc>
          <w:tcPr>
            <w:tcW w:type="dxa" w:w="6336"/>
            <w:tcMar>
              <w:top w:w="60" w:type="dxa"/>
              <w:left w:w="110" w:type="dxa"/>
              <w:bottom w:w="60" w:type="dxa"/>
              <w:right w:w="110" w:type="dxa"/>
            </w:tcMar>
            <w:vAlign w:val="top"/>
          </w:tcPr>
          <w:p>
            <w:pPr>
              <w:spacing w:after="20"/>
            </w:pPr>
            <w:r>
              <w:rPr>
                <w:sz w:val="18"/>
              </w:rPr>
              <w:t>MSA/settlement capture, award drafting, maker–checker, e-sign, e-stamp, execution pack.</w:t>
            </w:r>
          </w:p>
        </w:tc>
      </w:tr>
      <w:tr>
        <w:tc>
          <w:tcPr>
            <w:tcW w:type="dxa" w:w="3024"/>
            <w:shd w:val="clear" w:color="auto" w:fill="EAF1F6"/>
            <w:tcMar>
              <w:top w:w="60" w:type="dxa"/>
              <w:left w:w="110" w:type="dxa"/>
              <w:bottom w:w="60" w:type="dxa"/>
              <w:right w:w="110" w:type="dxa"/>
            </w:tcMar>
            <w:vAlign w:val="top"/>
          </w:tcPr>
          <w:p>
            <w:pPr>
              <w:spacing w:after="20"/>
            </w:pPr>
            <w:r>
              <w:rPr>
                <w:b/>
                <w:sz w:val="18"/>
              </w:rPr>
              <w:t>Finance &amp; Payments</w:t>
            </w:r>
          </w:p>
        </w:tc>
        <w:tc>
          <w:tcPr>
            <w:tcW w:type="dxa" w:w="6336"/>
            <w:shd w:val="clear" w:color="auto" w:fill="EAF1F6"/>
            <w:tcMar>
              <w:top w:w="60" w:type="dxa"/>
              <w:left w:w="110" w:type="dxa"/>
              <w:bottom w:w="60" w:type="dxa"/>
              <w:right w:w="110" w:type="dxa"/>
            </w:tcMar>
            <w:vAlign w:val="top"/>
          </w:tcPr>
          <w:p>
            <w:pPr>
              <w:spacing w:after="20"/>
            </w:pPr>
            <w:r>
              <w:rPr>
                <w:sz w:val="18"/>
              </w:rPr>
              <w:t>Fee schedules, invoicing, Razorpay/PayPal, escrow, neutral payouts (see EQR-08).</w:t>
            </w:r>
          </w:p>
        </w:tc>
      </w:tr>
      <w:tr>
        <w:tc>
          <w:tcPr>
            <w:tcW w:type="dxa" w:w="3024"/>
            <w:tcMar>
              <w:top w:w="60" w:type="dxa"/>
              <w:left w:w="110" w:type="dxa"/>
              <w:bottom w:w="60" w:type="dxa"/>
              <w:right w:w="110" w:type="dxa"/>
            </w:tcMar>
            <w:vAlign w:val="top"/>
          </w:tcPr>
          <w:p>
            <w:pPr>
              <w:spacing w:after="20"/>
            </w:pPr>
            <w:r>
              <w:rPr>
                <w:b/>
                <w:sz w:val="18"/>
              </w:rPr>
              <w:t>Enterprise &amp; Grievance</w:t>
            </w:r>
          </w:p>
        </w:tc>
        <w:tc>
          <w:tcPr>
            <w:tcW w:type="dxa" w:w="6336"/>
            <w:tcMar>
              <w:top w:w="60" w:type="dxa"/>
              <w:left w:w="110" w:type="dxa"/>
              <w:bottom w:w="60" w:type="dxa"/>
              <w:right w:w="110" w:type="dxa"/>
            </w:tcMar>
            <w:vAlign w:val="top"/>
          </w:tcPr>
          <w:p>
            <w:pPr>
              <w:spacing w:after="20"/>
            </w:pPr>
            <w:r>
              <w:rPr>
                <w:sz w:val="18"/>
              </w:rPr>
              <w:t>Clause config, bulk intake, IC/grievance workspace, escalation contract (see EQR-06).</w:t>
            </w:r>
          </w:p>
        </w:tc>
      </w:tr>
      <w:tr>
        <w:tc>
          <w:tcPr>
            <w:tcW w:type="dxa" w:w="3024"/>
            <w:shd w:val="clear" w:color="auto" w:fill="EAF1F6"/>
            <w:tcMar>
              <w:top w:w="60" w:type="dxa"/>
              <w:left w:w="110" w:type="dxa"/>
              <w:bottom w:w="60" w:type="dxa"/>
              <w:right w:w="110" w:type="dxa"/>
            </w:tcMar>
            <w:vAlign w:val="top"/>
          </w:tcPr>
          <w:p>
            <w:pPr>
              <w:spacing w:after="20"/>
            </w:pPr>
            <w:r>
              <w:rPr>
                <w:b/>
                <w:sz w:val="18"/>
              </w:rPr>
              <w:t>Dispute Explorer (AI)</w:t>
            </w:r>
          </w:p>
        </w:tc>
        <w:tc>
          <w:tcPr>
            <w:tcW w:type="dxa" w:w="6336"/>
            <w:shd w:val="clear" w:color="auto" w:fill="EAF1F6"/>
            <w:tcMar>
              <w:top w:w="60" w:type="dxa"/>
              <w:left w:w="110" w:type="dxa"/>
              <w:bottom w:w="60" w:type="dxa"/>
              <w:right w:w="110" w:type="dxa"/>
            </w:tcMar>
            <w:vAlign w:val="top"/>
          </w:tcPr>
          <w:p>
            <w:pPr>
              <w:spacing w:after="20"/>
            </w:pPr>
            <w:r>
              <w:rPr>
                <w:sz w:val="18"/>
              </w:rPr>
              <w:t>Pre-litigation viability/feasibility assessment (see EQR-07).</w:t>
            </w:r>
          </w:p>
        </w:tc>
      </w:tr>
      <w:tr>
        <w:tc>
          <w:tcPr>
            <w:tcW w:type="dxa" w:w="3024"/>
            <w:tcMar>
              <w:top w:w="60" w:type="dxa"/>
              <w:left w:w="110" w:type="dxa"/>
              <w:bottom w:w="60" w:type="dxa"/>
              <w:right w:w="110" w:type="dxa"/>
            </w:tcMar>
            <w:vAlign w:val="top"/>
          </w:tcPr>
          <w:p>
            <w:pPr>
              <w:spacing w:after="20"/>
            </w:pPr>
            <w:r>
              <w:rPr>
                <w:b/>
                <w:sz w:val="18"/>
              </w:rPr>
              <w:t>Analytics &amp; Reporting</w:t>
            </w:r>
          </w:p>
        </w:tc>
        <w:tc>
          <w:tcPr>
            <w:tcW w:type="dxa" w:w="6336"/>
            <w:tcMar>
              <w:top w:w="60" w:type="dxa"/>
              <w:left w:w="110" w:type="dxa"/>
              <w:bottom w:w="60" w:type="dxa"/>
              <w:right w:w="110" w:type="dxa"/>
            </w:tcMar>
            <w:vAlign w:val="top"/>
          </w:tcPr>
          <w:p>
            <w:pPr>
              <w:spacing w:after="20"/>
            </w:pPr>
            <w:r>
              <w:rPr>
                <w:sz w:val="18"/>
              </w:rPr>
              <w:t>Dashboards per persona, case-status explorer, regulator reports.</w:t>
            </w:r>
          </w:p>
        </w:tc>
      </w:tr>
      <w:tr>
        <w:tc>
          <w:tcPr>
            <w:tcW w:type="dxa" w:w="3024"/>
            <w:shd w:val="clear" w:color="auto" w:fill="EAF1F6"/>
            <w:tcMar>
              <w:top w:w="60" w:type="dxa"/>
              <w:left w:w="110" w:type="dxa"/>
              <w:bottom w:w="60" w:type="dxa"/>
              <w:right w:w="110" w:type="dxa"/>
            </w:tcMar>
            <w:vAlign w:val="top"/>
          </w:tcPr>
          <w:p>
            <w:pPr>
              <w:spacing w:after="20"/>
            </w:pPr>
            <w:r>
              <w:rPr>
                <w:b/>
                <w:sz w:val="18"/>
              </w:rPr>
              <w:t>Admin &amp; Configuration</w:t>
            </w:r>
          </w:p>
        </w:tc>
        <w:tc>
          <w:tcPr>
            <w:tcW w:type="dxa" w:w="6336"/>
            <w:shd w:val="clear" w:color="auto" w:fill="EAF1F6"/>
            <w:tcMar>
              <w:top w:w="60" w:type="dxa"/>
              <w:left w:w="110" w:type="dxa"/>
              <w:bottom w:w="60" w:type="dxa"/>
              <w:right w:w="110" w:type="dxa"/>
            </w:tcMar>
            <w:vAlign w:val="top"/>
          </w:tcPr>
          <w:p>
            <w:pPr>
              <w:spacing w:after="20"/>
            </w:pPr>
            <w:r>
              <w:rPr>
                <w:sz w:val="18"/>
              </w:rPr>
              <w:t>Tenant provisioning, rulesets, templates, feature flags, audit.</w:t>
            </w:r>
          </w:p>
        </w:tc>
      </w:tr>
    </w:tbl>
    <w:p>
      <w:pPr>
        <w:spacing w:after="40"/>
      </w:pPr>
    </w:p>
    <w:p>
      <w:pPr>
        <w:pStyle w:val="Heading2"/>
      </w:pPr>
      <w:r>
        <w:t>6.2 Microservices decomposition</w:t>
      </w:r>
    </w:p>
    <w:p>
      <w:pPr>
        <w:spacing w:after="120"/>
      </w:pPr>
      <w:r>
        <w:rPr>
          <w:b w:val="0"/>
        </w:rPr>
        <w:t>The logical modules are realised as a set of independently-deployable services behind an API gateway. Services are stateless where possible; state lives in the data stores of §7. Representative services:</w:t>
      </w:r>
    </w:p>
    <w:p>
      <w:pPr>
        <w:pStyle w:val="ListBullet"/>
      </w:pPr>
      <w:r>
        <w:rPr>
          <w:b/>
        </w:rPr>
        <w:t xml:space="preserve">identity-svc: </w:t>
      </w:r>
      <w:r>
        <w:t>auth, MFA, SSO, sessions, consent records</w:t>
      </w:r>
    </w:p>
    <w:p>
      <w:pPr>
        <w:pStyle w:val="ListBullet"/>
      </w:pPr>
      <w:r>
        <w:rPr>
          <w:b/>
        </w:rPr>
        <w:t xml:space="preserve">party-svc: </w:t>
      </w:r>
      <w:r>
        <w:t>party/entity profiles, KYC/KYB, mandates</w:t>
      </w:r>
    </w:p>
    <w:p>
      <w:pPr>
        <w:pStyle w:val="ListBullet"/>
      </w:pPr>
      <w:r>
        <w:rPr>
          <w:b/>
        </w:rPr>
        <w:t xml:space="preserve">intake-svc: </w:t>
      </w:r>
      <w:r>
        <w:t>filing, dispute typing, clause capture, deficiency workflow</w:t>
      </w:r>
    </w:p>
    <w:p>
      <w:pPr>
        <w:pStyle w:val="ListBullet"/>
      </w:pPr>
      <w:r>
        <w:rPr>
          <w:b/>
        </w:rPr>
        <w:t xml:space="preserve">case-svc: </w:t>
      </w:r>
      <w:r>
        <w:t>case aggregate, state machine, clocks, consolidation</w:t>
      </w:r>
    </w:p>
    <w:p>
      <w:pPr>
        <w:pStyle w:val="ListBullet"/>
      </w:pPr>
      <w:r>
        <w:rPr>
          <w:b/>
        </w:rPr>
        <w:t xml:space="preserve">rules-svc: </w:t>
      </w:r>
      <w:r>
        <w:t>ruleset versions, timelines, fee schedules, pathway config</w:t>
      </w:r>
    </w:p>
    <w:p>
      <w:pPr>
        <w:pStyle w:val="ListBullet"/>
      </w:pPr>
      <w:r>
        <w:rPr>
          <w:b/>
        </w:rPr>
        <w:t xml:space="preserve">odr-svc: </w:t>
      </w:r>
      <w:r>
        <w:t>proceedings, sessions orchestration, orders</w:t>
      </w:r>
    </w:p>
    <w:p>
      <w:pPr>
        <w:pStyle w:val="ListBullet"/>
      </w:pPr>
      <w:r>
        <w:rPr>
          <w:b/>
        </w:rPr>
        <w:t xml:space="preserve">neutral-svc: </w:t>
      </w:r>
      <w:r>
        <w:t>empanelment, allocation, conflicts, scorecards</w:t>
      </w:r>
    </w:p>
    <w:p>
      <w:pPr>
        <w:pStyle w:val="ListBullet"/>
      </w:pPr>
      <w:r>
        <w:rPr>
          <w:b/>
        </w:rPr>
        <w:t xml:space="preserve">hearing-svc: </w:t>
      </w:r>
      <w:r>
        <w:t>scheduling, video bridge, recordings, transcripts</w:t>
      </w:r>
    </w:p>
    <w:p>
      <w:pPr>
        <w:pStyle w:val="ListBullet"/>
      </w:pPr>
      <w:r>
        <w:rPr>
          <w:b/>
        </w:rPr>
        <w:t xml:space="preserve">evidence-svc: </w:t>
      </w:r>
      <w:r>
        <w:t>uploads, hashing, custody, document-AI jobs</w:t>
      </w:r>
    </w:p>
    <w:p>
      <w:pPr>
        <w:pStyle w:val="ListBullet"/>
      </w:pPr>
      <w:r>
        <w:rPr>
          <w:b/>
        </w:rPr>
        <w:t xml:space="preserve">notice-svc: </w:t>
      </w:r>
      <w:r>
        <w:t>service of process, notifications, multichannel delivery</w:t>
      </w:r>
    </w:p>
    <w:p>
      <w:pPr>
        <w:pStyle w:val="ListBullet"/>
      </w:pPr>
      <w:r>
        <w:rPr>
          <w:b/>
        </w:rPr>
        <w:t xml:space="preserve">settlement-svc: </w:t>
      </w:r>
      <w:r>
        <w:t>MSA/award drafting, maker–checker, e-sign, e-stamp, execution bundle</w:t>
      </w:r>
    </w:p>
    <w:p>
      <w:pPr>
        <w:pStyle w:val="ListBullet"/>
      </w:pPr>
      <w:r>
        <w:rPr>
          <w:b/>
        </w:rPr>
        <w:t xml:space="preserve">finance-svc: </w:t>
      </w:r>
      <w:r>
        <w:t>invoices, payments (Razorpay/PayPal), escrow ledger, payouts</w:t>
      </w:r>
    </w:p>
    <w:p>
      <w:pPr>
        <w:pStyle w:val="ListBullet"/>
      </w:pPr>
      <w:r>
        <w:rPr>
          <w:b/>
        </w:rPr>
        <w:t xml:space="preserve">enterprise-svc: </w:t>
      </w:r>
      <w:r>
        <w:t>clause config, bulk intake, grievance/IC, escalation contracts</w:t>
      </w:r>
    </w:p>
    <w:p>
      <w:pPr>
        <w:pStyle w:val="ListBullet"/>
      </w:pPr>
      <w:r>
        <w:rPr>
          <w:b/>
        </w:rPr>
        <w:t xml:space="preserve">explorer-svc: </w:t>
      </w:r>
      <w:r>
        <w:t>Dispute Explorer orchestration and Claude API calls</w:t>
      </w:r>
    </w:p>
    <w:p>
      <w:pPr>
        <w:pStyle w:val="ListBullet"/>
      </w:pPr>
      <w:r>
        <w:rPr>
          <w:b/>
        </w:rPr>
        <w:t xml:space="preserve">analytics-svc: </w:t>
      </w:r>
      <w:r>
        <w:t>read models, dashboards, case-status explorer, regulator exports</w:t>
      </w:r>
    </w:p>
    <w:p>
      <w:pPr>
        <w:pStyle w:val="ListBullet"/>
      </w:pPr>
      <w:r>
        <w:rPr>
          <w:b/>
        </w:rPr>
        <w:t xml:space="preserve">admin-svc: </w:t>
      </w:r>
      <w:r>
        <w:t>tenants, templates, feature flags, configuration, audit query</w:t>
      </w:r>
    </w:p>
    <w:p>
      <w:pPr>
        <w:pStyle w:val="Heading2"/>
      </w:pPr>
      <w:r>
        <w:t>6.3 Channel / presentation layer</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3024"/>
            <w:shd w:val="clear" w:color="auto" w:fill="0B2E4F"/>
            <w:tcMar>
              <w:top w:w="60" w:type="dxa"/>
              <w:left w:w="110" w:type="dxa"/>
              <w:bottom w:w="60" w:type="dxa"/>
              <w:right w:w="110" w:type="dxa"/>
            </w:tcMar>
            <w:vAlign w:val="center"/>
          </w:tcPr>
          <w:p>
            <w:pPr>
              <w:spacing w:after="20"/>
            </w:pPr>
            <w:r>
              <w:rPr>
                <w:b/>
                <w:color w:val="FFFFFF"/>
                <w:sz w:val="18"/>
              </w:rPr>
              <w:t>Channel</w:t>
            </w:r>
          </w:p>
        </w:tc>
        <w:tc>
          <w:tcPr>
            <w:tcW w:type="dxa" w:w="6336"/>
            <w:shd w:val="clear" w:color="auto" w:fill="0B2E4F"/>
            <w:tcMar>
              <w:top w:w="60" w:type="dxa"/>
              <w:left w:w="110" w:type="dxa"/>
              <w:bottom w:w="60" w:type="dxa"/>
              <w:right w:w="110" w:type="dxa"/>
            </w:tcMar>
            <w:vAlign w:val="center"/>
          </w:tcPr>
          <w:p>
            <w:pPr>
              <w:spacing w:after="20"/>
            </w:pPr>
            <w:r>
              <w:rPr>
                <w:b/>
                <w:color w:val="FFFFFF"/>
                <w:sz w:val="18"/>
              </w:rPr>
              <w:t>Purpose</w:t>
            </w:r>
          </w:p>
        </w:tc>
      </w:tr>
      <w:tr>
        <w:tc>
          <w:tcPr>
            <w:tcW w:type="dxa" w:w="3024"/>
            <w:tcMar>
              <w:top w:w="60" w:type="dxa"/>
              <w:left w:w="110" w:type="dxa"/>
              <w:bottom w:w="60" w:type="dxa"/>
              <w:right w:w="110" w:type="dxa"/>
            </w:tcMar>
            <w:vAlign w:val="top"/>
          </w:tcPr>
          <w:p>
            <w:pPr>
              <w:spacing w:after="20"/>
            </w:pPr>
            <w:r>
              <w:rPr>
                <w:b/>
                <w:sz w:val="18"/>
              </w:rPr>
              <w:t>Responsive web app</w:t>
            </w:r>
          </w:p>
        </w:tc>
        <w:tc>
          <w:tcPr>
            <w:tcW w:type="dxa" w:w="6336"/>
            <w:tcMar>
              <w:top w:w="60" w:type="dxa"/>
              <w:left w:w="110" w:type="dxa"/>
              <w:bottom w:w="60" w:type="dxa"/>
              <w:right w:w="110" w:type="dxa"/>
            </w:tcMar>
            <w:vAlign w:val="top"/>
          </w:tcPr>
          <w:p>
            <w:pPr>
              <w:spacing w:after="20"/>
            </w:pPr>
            <w:r>
              <w:rPr>
                <w:sz w:val="18"/>
              </w:rPr>
              <w:t>Primary experience for all personas; persona-specific dashboards (EQR-09).</w:t>
            </w:r>
          </w:p>
        </w:tc>
      </w:tr>
      <w:tr>
        <w:tc>
          <w:tcPr>
            <w:tcW w:type="dxa" w:w="3024"/>
            <w:shd w:val="clear" w:color="auto" w:fill="EAF1F6"/>
            <w:tcMar>
              <w:top w:w="60" w:type="dxa"/>
              <w:left w:w="110" w:type="dxa"/>
              <w:bottom w:w="60" w:type="dxa"/>
              <w:right w:w="110" w:type="dxa"/>
            </w:tcMar>
            <w:vAlign w:val="top"/>
          </w:tcPr>
          <w:p>
            <w:pPr>
              <w:spacing w:after="20"/>
            </w:pPr>
            <w:r>
              <w:rPr>
                <w:b/>
                <w:sz w:val="18"/>
              </w:rPr>
              <w:t>Mobile apps (iOS/Android)</w:t>
            </w:r>
          </w:p>
        </w:tc>
        <w:tc>
          <w:tcPr>
            <w:tcW w:type="dxa" w:w="6336"/>
            <w:shd w:val="clear" w:color="auto" w:fill="EAF1F6"/>
            <w:tcMar>
              <w:top w:w="60" w:type="dxa"/>
              <w:left w:w="110" w:type="dxa"/>
              <w:bottom w:w="60" w:type="dxa"/>
              <w:right w:w="110" w:type="dxa"/>
            </w:tcMar>
            <w:vAlign w:val="top"/>
          </w:tcPr>
          <w:p>
            <w:pPr>
              <w:spacing w:after="20"/>
            </w:pPr>
            <w:r>
              <w:rPr>
                <w:sz w:val="18"/>
              </w:rPr>
              <w:t>Party and neutral apps; hearings, e-sign, notifications (EQR-11).</w:t>
            </w:r>
          </w:p>
        </w:tc>
      </w:tr>
      <w:tr>
        <w:tc>
          <w:tcPr>
            <w:tcW w:type="dxa" w:w="3024"/>
            <w:tcMar>
              <w:top w:w="60" w:type="dxa"/>
              <w:left w:w="110" w:type="dxa"/>
              <w:bottom w:w="60" w:type="dxa"/>
              <w:right w:w="110" w:type="dxa"/>
            </w:tcMar>
            <w:vAlign w:val="top"/>
          </w:tcPr>
          <w:p>
            <w:pPr>
              <w:spacing w:after="20"/>
            </w:pPr>
            <w:r>
              <w:rPr>
                <w:b/>
                <w:sz w:val="18"/>
              </w:rPr>
              <w:t>Embedded widgets / white-label</w:t>
            </w:r>
          </w:p>
        </w:tc>
        <w:tc>
          <w:tcPr>
            <w:tcW w:type="dxa" w:w="6336"/>
            <w:tcMar>
              <w:top w:w="60" w:type="dxa"/>
              <w:left w:w="110" w:type="dxa"/>
              <w:bottom w:w="60" w:type="dxa"/>
              <w:right w:w="110" w:type="dxa"/>
            </w:tcMar>
            <w:vAlign w:val="top"/>
          </w:tcPr>
          <w:p>
            <w:pPr>
              <w:spacing w:after="20"/>
            </w:pPr>
            <w:r>
              <w:rPr>
                <w:sz w:val="18"/>
              </w:rPr>
              <w:t>Company-branded intake and status embedded via API (EQR-06).</w:t>
            </w:r>
          </w:p>
        </w:tc>
      </w:tr>
      <w:tr>
        <w:tc>
          <w:tcPr>
            <w:tcW w:type="dxa" w:w="3024"/>
            <w:shd w:val="clear" w:color="auto" w:fill="EAF1F6"/>
            <w:tcMar>
              <w:top w:w="60" w:type="dxa"/>
              <w:left w:w="110" w:type="dxa"/>
              <w:bottom w:w="60" w:type="dxa"/>
              <w:right w:w="110" w:type="dxa"/>
            </w:tcMar>
            <w:vAlign w:val="top"/>
          </w:tcPr>
          <w:p>
            <w:pPr>
              <w:spacing w:after="20"/>
            </w:pPr>
            <w:r>
              <w:rPr>
                <w:b/>
                <w:sz w:val="18"/>
              </w:rPr>
              <w:t>Assisted / kiosk / IVR</w:t>
            </w:r>
          </w:p>
        </w:tc>
        <w:tc>
          <w:tcPr>
            <w:tcW w:type="dxa" w:w="6336"/>
            <w:shd w:val="clear" w:color="auto" w:fill="EAF1F6"/>
            <w:tcMar>
              <w:top w:w="60" w:type="dxa"/>
              <w:left w:w="110" w:type="dxa"/>
              <w:bottom w:w="60" w:type="dxa"/>
              <w:right w:w="110" w:type="dxa"/>
            </w:tcMar>
            <w:vAlign w:val="top"/>
          </w:tcPr>
          <w:p>
            <w:pPr>
              <w:spacing w:after="20"/>
            </w:pPr>
            <w:r>
              <w:rPr>
                <w:sz w:val="18"/>
              </w:rPr>
              <w:t>Common-service-centre, call-centre and voice intake for non-digital users.</w:t>
            </w:r>
          </w:p>
        </w:tc>
      </w:tr>
      <w:tr>
        <w:tc>
          <w:tcPr>
            <w:tcW w:type="dxa" w:w="3024"/>
            <w:tcMar>
              <w:top w:w="60" w:type="dxa"/>
              <w:left w:w="110" w:type="dxa"/>
              <w:bottom w:w="60" w:type="dxa"/>
              <w:right w:w="110" w:type="dxa"/>
            </w:tcMar>
            <w:vAlign w:val="top"/>
          </w:tcPr>
          <w:p>
            <w:pPr>
              <w:spacing w:after="20"/>
            </w:pPr>
            <w:r>
              <w:rPr>
                <w:b/>
                <w:sz w:val="18"/>
              </w:rPr>
              <w:t>WhatsApp / SMS / email</w:t>
            </w:r>
          </w:p>
        </w:tc>
        <w:tc>
          <w:tcPr>
            <w:tcW w:type="dxa" w:w="6336"/>
            <w:tcMar>
              <w:top w:w="60" w:type="dxa"/>
              <w:left w:w="110" w:type="dxa"/>
              <w:bottom w:w="60" w:type="dxa"/>
              <w:right w:w="110" w:type="dxa"/>
            </w:tcMar>
            <w:vAlign w:val="top"/>
          </w:tcPr>
          <w:p>
            <w:pPr>
              <w:spacing w:after="20"/>
            </w:pPr>
            <w:r>
              <w:rPr>
                <w:sz w:val="18"/>
              </w:rPr>
              <w:t>Status, reminders and low-bandwidth actions (feature-phone reach).</w:t>
            </w:r>
          </w:p>
        </w:tc>
      </w:tr>
    </w:tbl>
    <w:p>
      <w:pPr>
        <w:spacing w:after="40"/>
      </w:pPr>
    </w:p>
    <w:p>
      <w:pPr>
        <w:pStyle w:val="Heading2"/>
      </w:pPr>
      <w:r>
        <w:t>6.4 Case lifecycle state machine</w:t>
      </w:r>
    </w:p>
    <w:p>
      <w:pPr>
        <w:spacing w:after="120"/>
      </w:pPr>
      <w:r>
        <w:rPr>
          <w:b w:val="0"/>
        </w:rPr>
        <w:t>The case aggregate is governed by a configurable state machine. States and transitions are defined per pathway in the rules engine; the canonical states are below. Each transition emits a domain event and may start/stop a compliance clock.</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3120"/>
        <w:gridCol w:w="3120"/>
        <w:gridCol w:w="3120"/>
      </w:tblGrid>
      <w:tr>
        <w:trPr>
          <w:tblHeader w:val="true"/>
        </w:trPr>
        <w:tc>
          <w:tcPr>
            <w:tcW w:type="dxa" w:w="2160"/>
            <w:shd w:val="clear" w:color="auto" w:fill="0B2E4F"/>
            <w:tcMar>
              <w:top w:w="60" w:type="dxa"/>
              <w:left w:w="110" w:type="dxa"/>
              <w:bottom w:w="60" w:type="dxa"/>
              <w:right w:w="110" w:type="dxa"/>
            </w:tcMar>
            <w:vAlign w:val="center"/>
          </w:tcPr>
          <w:p>
            <w:pPr>
              <w:spacing w:after="20"/>
            </w:pPr>
            <w:r>
              <w:rPr>
                <w:b/>
                <w:color w:val="FFFFFF"/>
                <w:sz w:val="18"/>
              </w:rPr>
              <w:t>State</w:t>
            </w:r>
          </w:p>
        </w:tc>
        <w:tc>
          <w:tcPr>
            <w:tcW w:type="dxa" w:w="4320"/>
            <w:shd w:val="clear" w:color="auto" w:fill="0B2E4F"/>
            <w:tcMar>
              <w:top w:w="60" w:type="dxa"/>
              <w:left w:w="110" w:type="dxa"/>
              <w:bottom w:w="60" w:type="dxa"/>
              <w:right w:w="110" w:type="dxa"/>
            </w:tcMar>
            <w:vAlign w:val="center"/>
          </w:tcPr>
          <w:p>
            <w:pPr>
              <w:spacing w:after="20"/>
            </w:pPr>
            <w:r>
              <w:rPr>
                <w:b/>
                <w:color w:val="FFFFFF"/>
                <w:sz w:val="18"/>
              </w:rPr>
              <w:t>Enters when</w:t>
            </w:r>
          </w:p>
        </w:tc>
        <w:tc>
          <w:tcPr>
            <w:tcW w:type="dxa" w:w="2880"/>
            <w:shd w:val="clear" w:color="auto" w:fill="0B2E4F"/>
            <w:tcMar>
              <w:top w:w="60" w:type="dxa"/>
              <w:left w:w="110" w:type="dxa"/>
              <w:bottom w:w="60" w:type="dxa"/>
              <w:right w:w="110" w:type="dxa"/>
            </w:tcMar>
            <w:vAlign w:val="center"/>
          </w:tcPr>
          <w:p>
            <w:pPr>
              <w:spacing w:after="20"/>
            </w:pPr>
            <w:r>
              <w:rPr>
                <w:b/>
                <w:color w:val="FFFFFF"/>
                <w:sz w:val="18"/>
              </w:rPr>
              <w:t>Key events emitted</w:t>
            </w:r>
          </w:p>
        </w:tc>
      </w:tr>
      <w:tr>
        <w:tc>
          <w:tcPr>
            <w:tcW w:type="dxa" w:w="2160"/>
            <w:tcMar>
              <w:top w:w="60" w:type="dxa"/>
              <w:left w:w="110" w:type="dxa"/>
              <w:bottom w:w="60" w:type="dxa"/>
              <w:right w:w="110" w:type="dxa"/>
            </w:tcMar>
            <w:vAlign w:val="top"/>
          </w:tcPr>
          <w:p>
            <w:pPr>
              <w:spacing w:after="20"/>
            </w:pPr>
            <w:r>
              <w:rPr>
                <w:b/>
                <w:sz w:val="18"/>
              </w:rPr>
              <w:t>Draft</w:t>
            </w:r>
          </w:p>
        </w:tc>
        <w:tc>
          <w:tcPr>
            <w:tcW w:type="dxa" w:w="4320"/>
            <w:tcMar>
              <w:top w:w="60" w:type="dxa"/>
              <w:left w:w="110" w:type="dxa"/>
              <w:bottom w:w="60" w:type="dxa"/>
              <w:right w:w="110" w:type="dxa"/>
            </w:tcMar>
            <w:vAlign w:val="top"/>
          </w:tcPr>
          <w:p>
            <w:pPr>
              <w:spacing w:after="20"/>
            </w:pPr>
            <w:r>
              <w:rPr>
                <w:sz w:val="18"/>
              </w:rPr>
              <w:t>Party begins filing (optionally from Dispute Explorer)</w:t>
            </w:r>
          </w:p>
        </w:tc>
        <w:tc>
          <w:tcPr>
            <w:tcW w:type="dxa" w:w="2880"/>
            <w:tcMar>
              <w:top w:w="60" w:type="dxa"/>
              <w:left w:w="110" w:type="dxa"/>
              <w:bottom w:w="60" w:type="dxa"/>
              <w:right w:w="110" w:type="dxa"/>
            </w:tcMar>
            <w:vAlign w:val="top"/>
          </w:tcPr>
          <w:p>
            <w:pPr>
              <w:spacing w:after="20"/>
            </w:pPr>
            <w:r>
              <w:rPr>
                <w:sz w:val="18"/>
              </w:rPr>
              <w:t>CaseDrafted</w:t>
            </w:r>
          </w:p>
        </w:tc>
      </w:tr>
      <w:tr>
        <w:tc>
          <w:tcPr>
            <w:tcW w:type="dxa" w:w="2160"/>
            <w:shd w:val="clear" w:color="auto" w:fill="EAF1F6"/>
            <w:tcMar>
              <w:top w:w="60" w:type="dxa"/>
              <w:left w:w="110" w:type="dxa"/>
              <w:bottom w:w="60" w:type="dxa"/>
              <w:right w:w="110" w:type="dxa"/>
            </w:tcMar>
            <w:vAlign w:val="top"/>
          </w:tcPr>
          <w:p>
            <w:pPr>
              <w:spacing w:after="20"/>
            </w:pPr>
            <w:r>
              <w:rPr>
                <w:b/>
                <w:sz w:val="18"/>
              </w:rPr>
              <w:t>Filed</w:t>
            </w:r>
          </w:p>
        </w:tc>
        <w:tc>
          <w:tcPr>
            <w:tcW w:type="dxa" w:w="4320"/>
            <w:shd w:val="clear" w:color="auto" w:fill="EAF1F6"/>
            <w:tcMar>
              <w:top w:w="60" w:type="dxa"/>
              <w:left w:w="110" w:type="dxa"/>
              <w:bottom w:w="60" w:type="dxa"/>
              <w:right w:w="110" w:type="dxa"/>
            </w:tcMar>
            <w:vAlign w:val="top"/>
          </w:tcPr>
          <w:p>
            <w:pPr>
              <w:spacing w:after="20"/>
            </w:pPr>
            <w:r>
              <w:rPr>
                <w:sz w:val="18"/>
              </w:rPr>
              <w:t>Filing submitted with consent &amp; fee</w:t>
            </w:r>
          </w:p>
        </w:tc>
        <w:tc>
          <w:tcPr>
            <w:tcW w:type="dxa" w:w="2880"/>
            <w:shd w:val="clear" w:color="auto" w:fill="EAF1F6"/>
            <w:tcMar>
              <w:top w:w="60" w:type="dxa"/>
              <w:left w:w="110" w:type="dxa"/>
              <w:bottom w:w="60" w:type="dxa"/>
              <w:right w:w="110" w:type="dxa"/>
            </w:tcMar>
            <w:vAlign w:val="top"/>
          </w:tcPr>
          <w:p>
            <w:pPr>
              <w:spacing w:after="20"/>
            </w:pPr>
            <w:r>
              <w:rPr>
                <w:sz w:val="18"/>
              </w:rPr>
              <w:t>CaseFiled, FeePaid</w:t>
            </w:r>
          </w:p>
        </w:tc>
      </w:tr>
      <w:tr>
        <w:tc>
          <w:tcPr>
            <w:tcW w:type="dxa" w:w="2160"/>
            <w:tcMar>
              <w:top w:w="60" w:type="dxa"/>
              <w:left w:w="110" w:type="dxa"/>
              <w:bottom w:w="60" w:type="dxa"/>
              <w:right w:w="110" w:type="dxa"/>
            </w:tcMar>
            <w:vAlign w:val="top"/>
          </w:tcPr>
          <w:p>
            <w:pPr>
              <w:spacing w:after="20"/>
            </w:pPr>
            <w:r>
              <w:rPr>
                <w:b/>
                <w:sz w:val="18"/>
              </w:rPr>
              <w:t>Under Scrutiny</w:t>
            </w:r>
          </w:p>
        </w:tc>
        <w:tc>
          <w:tcPr>
            <w:tcW w:type="dxa" w:w="4320"/>
            <w:tcMar>
              <w:top w:w="60" w:type="dxa"/>
              <w:left w:w="110" w:type="dxa"/>
              <w:bottom w:w="60" w:type="dxa"/>
              <w:right w:w="110" w:type="dxa"/>
            </w:tcMar>
            <w:vAlign w:val="top"/>
          </w:tcPr>
          <w:p>
            <w:pPr>
              <w:spacing w:after="20"/>
            </w:pPr>
            <w:r>
              <w:rPr>
                <w:sz w:val="18"/>
              </w:rPr>
              <w:t>Intake review &amp; jurisdiction/arbitrability check</w:t>
            </w:r>
          </w:p>
        </w:tc>
        <w:tc>
          <w:tcPr>
            <w:tcW w:type="dxa" w:w="2880"/>
            <w:tcMar>
              <w:top w:w="60" w:type="dxa"/>
              <w:left w:w="110" w:type="dxa"/>
              <w:bottom w:w="60" w:type="dxa"/>
              <w:right w:w="110" w:type="dxa"/>
            </w:tcMar>
            <w:vAlign w:val="top"/>
          </w:tcPr>
          <w:p>
            <w:pPr>
              <w:spacing w:after="20"/>
            </w:pPr>
            <w:r>
              <w:rPr>
                <w:sz w:val="18"/>
              </w:rPr>
              <w:t>ScrutinyStarted</w:t>
            </w:r>
          </w:p>
        </w:tc>
      </w:tr>
      <w:tr>
        <w:tc>
          <w:tcPr>
            <w:tcW w:type="dxa" w:w="2160"/>
            <w:shd w:val="clear" w:color="auto" w:fill="EAF1F6"/>
            <w:tcMar>
              <w:top w:w="60" w:type="dxa"/>
              <w:left w:w="110" w:type="dxa"/>
              <w:bottom w:w="60" w:type="dxa"/>
              <w:right w:w="110" w:type="dxa"/>
            </w:tcMar>
            <w:vAlign w:val="top"/>
          </w:tcPr>
          <w:p>
            <w:pPr>
              <w:spacing w:after="20"/>
            </w:pPr>
            <w:r>
              <w:rPr>
                <w:b/>
                <w:sz w:val="18"/>
              </w:rPr>
              <w:t>Deficient</w:t>
            </w:r>
          </w:p>
        </w:tc>
        <w:tc>
          <w:tcPr>
            <w:tcW w:type="dxa" w:w="4320"/>
            <w:shd w:val="clear" w:color="auto" w:fill="EAF1F6"/>
            <w:tcMar>
              <w:top w:w="60" w:type="dxa"/>
              <w:left w:w="110" w:type="dxa"/>
              <w:bottom w:w="60" w:type="dxa"/>
              <w:right w:w="110" w:type="dxa"/>
            </w:tcMar>
            <w:vAlign w:val="top"/>
          </w:tcPr>
          <w:p>
            <w:pPr>
              <w:spacing w:after="20"/>
            </w:pPr>
            <w:r>
              <w:rPr>
                <w:sz w:val="18"/>
              </w:rPr>
              <w:t>Defects found; cure window opens</w:t>
            </w:r>
          </w:p>
        </w:tc>
        <w:tc>
          <w:tcPr>
            <w:tcW w:type="dxa" w:w="2880"/>
            <w:shd w:val="clear" w:color="auto" w:fill="EAF1F6"/>
            <w:tcMar>
              <w:top w:w="60" w:type="dxa"/>
              <w:left w:w="110" w:type="dxa"/>
              <w:bottom w:w="60" w:type="dxa"/>
              <w:right w:w="110" w:type="dxa"/>
            </w:tcMar>
            <w:vAlign w:val="top"/>
          </w:tcPr>
          <w:p>
            <w:pPr>
              <w:spacing w:after="20"/>
            </w:pPr>
            <w:r>
              <w:rPr>
                <w:sz w:val="18"/>
              </w:rPr>
              <w:t>DeficiencyRaised</w:t>
            </w:r>
          </w:p>
        </w:tc>
      </w:tr>
      <w:tr>
        <w:tc>
          <w:tcPr>
            <w:tcW w:type="dxa" w:w="2160"/>
            <w:tcMar>
              <w:top w:w="60" w:type="dxa"/>
              <w:left w:w="110" w:type="dxa"/>
              <w:bottom w:w="60" w:type="dxa"/>
              <w:right w:w="110" w:type="dxa"/>
            </w:tcMar>
            <w:vAlign w:val="top"/>
          </w:tcPr>
          <w:p>
            <w:pPr>
              <w:spacing w:after="20"/>
            </w:pPr>
            <w:r>
              <w:rPr>
                <w:b/>
                <w:sz w:val="18"/>
              </w:rPr>
              <w:t>Accepted / Classified</w:t>
            </w:r>
          </w:p>
        </w:tc>
        <w:tc>
          <w:tcPr>
            <w:tcW w:type="dxa" w:w="4320"/>
            <w:tcMar>
              <w:top w:w="60" w:type="dxa"/>
              <w:left w:w="110" w:type="dxa"/>
              <w:bottom w:w="60" w:type="dxa"/>
              <w:right w:w="110" w:type="dxa"/>
            </w:tcMar>
            <w:vAlign w:val="top"/>
          </w:tcPr>
          <w:p>
            <w:pPr>
              <w:spacing w:after="20"/>
            </w:pPr>
            <w:r>
              <w:rPr>
                <w:sz w:val="18"/>
              </w:rPr>
              <w:t>Accepted and assigned to a track</w:t>
            </w:r>
          </w:p>
        </w:tc>
        <w:tc>
          <w:tcPr>
            <w:tcW w:type="dxa" w:w="2880"/>
            <w:tcMar>
              <w:top w:w="60" w:type="dxa"/>
              <w:left w:w="110" w:type="dxa"/>
              <w:bottom w:w="60" w:type="dxa"/>
              <w:right w:w="110" w:type="dxa"/>
            </w:tcMar>
            <w:vAlign w:val="top"/>
          </w:tcPr>
          <w:p>
            <w:pPr>
              <w:spacing w:after="20"/>
            </w:pPr>
            <w:r>
              <w:rPr>
                <w:sz w:val="18"/>
              </w:rPr>
              <w:t>CaseAccepted, TrackAssigned</w:t>
            </w:r>
          </w:p>
        </w:tc>
      </w:tr>
      <w:tr>
        <w:tc>
          <w:tcPr>
            <w:tcW w:type="dxa" w:w="2160"/>
            <w:shd w:val="clear" w:color="auto" w:fill="EAF1F6"/>
            <w:tcMar>
              <w:top w:w="60" w:type="dxa"/>
              <w:left w:w="110" w:type="dxa"/>
              <w:bottom w:w="60" w:type="dxa"/>
              <w:right w:w="110" w:type="dxa"/>
            </w:tcMar>
            <w:vAlign w:val="top"/>
          </w:tcPr>
          <w:p>
            <w:pPr>
              <w:spacing w:after="20"/>
            </w:pPr>
            <w:r>
              <w:rPr>
                <w:b/>
                <w:sz w:val="18"/>
              </w:rPr>
              <w:t>Neutral Appointed</w:t>
            </w:r>
          </w:p>
        </w:tc>
        <w:tc>
          <w:tcPr>
            <w:tcW w:type="dxa" w:w="4320"/>
            <w:shd w:val="clear" w:color="auto" w:fill="EAF1F6"/>
            <w:tcMar>
              <w:top w:w="60" w:type="dxa"/>
              <w:left w:w="110" w:type="dxa"/>
              <w:bottom w:w="60" w:type="dxa"/>
              <w:right w:w="110" w:type="dxa"/>
            </w:tcMar>
            <w:vAlign w:val="top"/>
          </w:tcPr>
          <w:p>
            <w:pPr>
              <w:spacing w:after="20"/>
            </w:pPr>
            <w:r>
              <w:rPr>
                <w:sz w:val="18"/>
              </w:rPr>
              <w:t>Allocation + conflict check + acceptance</w:t>
            </w:r>
          </w:p>
        </w:tc>
        <w:tc>
          <w:tcPr>
            <w:tcW w:type="dxa" w:w="2880"/>
            <w:shd w:val="clear" w:color="auto" w:fill="EAF1F6"/>
            <w:tcMar>
              <w:top w:w="60" w:type="dxa"/>
              <w:left w:w="110" w:type="dxa"/>
              <w:bottom w:w="60" w:type="dxa"/>
              <w:right w:w="110" w:type="dxa"/>
            </w:tcMar>
            <w:vAlign w:val="top"/>
          </w:tcPr>
          <w:p>
            <w:pPr>
              <w:spacing w:after="20"/>
            </w:pPr>
            <w:r>
              <w:rPr>
                <w:sz w:val="18"/>
              </w:rPr>
              <w:t>NeutralProposed, NeutralAppointed</w:t>
            </w:r>
          </w:p>
        </w:tc>
      </w:tr>
      <w:tr>
        <w:tc>
          <w:tcPr>
            <w:tcW w:type="dxa" w:w="2160"/>
            <w:tcMar>
              <w:top w:w="60" w:type="dxa"/>
              <w:left w:w="110" w:type="dxa"/>
              <w:bottom w:w="60" w:type="dxa"/>
              <w:right w:w="110" w:type="dxa"/>
            </w:tcMar>
            <w:vAlign w:val="top"/>
          </w:tcPr>
          <w:p>
            <w:pPr>
              <w:spacing w:after="20"/>
            </w:pPr>
            <w:r>
              <w:rPr>
                <w:b/>
                <w:sz w:val="18"/>
              </w:rPr>
              <w:t>Notice Served</w:t>
            </w:r>
          </w:p>
        </w:tc>
        <w:tc>
          <w:tcPr>
            <w:tcW w:type="dxa" w:w="4320"/>
            <w:tcMar>
              <w:top w:w="60" w:type="dxa"/>
              <w:left w:w="110" w:type="dxa"/>
              <w:bottom w:w="60" w:type="dxa"/>
              <w:right w:w="110" w:type="dxa"/>
            </w:tcMar>
            <w:vAlign w:val="top"/>
          </w:tcPr>
          <w:p>
            <w:pPr>
              <w:spacing w:after="20"/>
            </w:pPr>
            <w:r>
              <w:rPr>
                <w:sz w:val="18"/>
              </w:rPr>
              <w:t>Legally-defensible service to respondent</w:t>
            </w:r>
          </w:p>
        </w:tc>
        <w:tc>
          <w:tcPr>
            <w:tcW w:type="dxa" w:w="2880"/>
            <w:tcMar>
              <w:top w:w="60" w:type="dxa"/>
              <w:left w:w="110" w:type="dxa"/>
              <w:bottom w:w="60" w:type="dxa"/>
              <w:right w:w="110" w:type="dxa"/>
            </w:tcMar>
            <w:vAlign w:val="top"/>
          </w:tcPr>
          <w:p>
            <w:pPr>
              <w:spacing w:after="20"/>
            </w:pPr>
            <w:r>
              <w:rPr>
                <w:sz w:val="18"/>
              </w:rPr>
              <w:t>NoticeServed</w:t>
            </w:r>
          </w:p>
        </w:tc>
      </w:tr>
      <w:tr>
        <w:tc>
          <w:tcPr>
            <w:tcW w:type="dxa" w:w="2160"/>
            <w:shd w:val="clear" w:color="auto" w:fill="EAF1F6"/>
            <w:tcMar>
              <w:top w:w="60" w:type="dxa"/>
              <w:left w:w="110" w:type="dxa"/>
              <w:bottom w:w="60" w:type="dxa"/>
              <w:right w:w="110" w:type="dxa"/>
            </w:tcMar>
            <w:vAlign w:val="top"/>
          </w:tcPr>
          <w:p>
            <w:pPr>
              <w:spacing w:after="20"/>
            </w:pPr>
            <w:r>
              <w:rPr>
                <w:b/>
                <w:sz w:val="18"/>
              </w:rPr>
              <w:t>In Proceedings</w:t>
            </w:r>
          </w:p>
        </w:tc>
        <w:tc>
          <w:tcPr>
            <w:tcW w:type="dxa" w:w="4320"/>
            <w:shd w:val="clear" w:color="auto" w:fill="EAF1F6"/>
            <w:tcMar>
              <w:top w:w="60" w:type="dxa"/>
              <w:left w:w="110" w:type="dxa"/>
              <w:bottom w:w="60" w:type="dxa"/>
              <w:right w:w="110" w:type="dxa"/>
            </w:tcMar>
            <w:vAlign w:val="top"/>
          </w:tcPr>
          <w:p>
            <w:pPr>
              <w:spacing w:after="20"/>
            </w:pPr>
            <w:r>
              <w:rPr>
                <w:sz w:val="18"/>
              </w:rPr>
              <w:t>Sessions/hearings, evidence, caucus</w:t>
            </w:r>
          </w:p>
        </w:tc>
        <w:tc>
          <w:tcPr>
            <w:tcW w:type="dxa" w:w="2880"/>
            <w:shd w:val="clear" w:color="auto" w:fill="EAF1F6"/>
            <w:tcMar>
              <w:top w:w="60" w:type="dxa"/>
              <w:left w:w="110" w:type="dxa"/>
              <w:bottom w:w="60" w:type="dxa"/>
              <w:right w:w="110" w:type="dxa"/>
            </w:tcMar>
            <w:vAlign w:val="top"/>
          </w:tcPr>
          <w:p>
            <w:pPr>
              <w:spacing w:after="20"/>
            </w:pPr>
            <w:r>
              <w:rPr>
                <w:sz w:val="18"/>
              </w:rPr>
              <w:t>HearingHeld, EvidenceAdmitted</w:t>
            </w:r>
          </w:p>
        </w:tc>
      </w:tr>
      <w:tr>
        <w:tc>
          <w:tcPr>
            <w:tcW w:type="dxa" w:w="2160"/>
            <w:tcMar>
              <w:top w:w="60" w:type="dxa"/>
              <w:left w:w="110" w:type="dxa"/>
              <w:bottom w:w="60" w:type="dxa"/>
              <w:right w:w="110" w:type="dxa"/>
            </w:tcMar>
            <w:vAlign w:val="top"/>
          </w:tcPr>
          <w:p>
            <w:pPr>
              <w:spacing w:after="20"/>
            </w:pPr>
            <w:r>
              <w:rPr>
                <w:b/>
                <w:sz w:val="18"/>
              </w:rPr>
              <w:t>Outcome Drafted</w:t>
            </w:r>
          </w:p>
        </w:tc>
        <w:tc>
          <w:tcPr>
            <w:tcW w:type="dxa" w:w="4320"/>
            <w:tcMar>
              <w:top w:w="60" w:type="dxa"/>
              <w:left w:w="110" w:type="dxa"/>
              <w:bottom w:w="60" w:type="dxa"/>
              <w:right w:w="110" w:type="dxa"/>
            </w:tcMar>
            <w:vAlign w:val="top"/>
          </w:tcPr>
          <w:p>
            <w:pPr>
              <w:spacing w:after="20"/>
            </w:pPr>
            <w:r>
              <w:rPr>
                <w:sz w:val="18"/>
              </w:rPr>
              <w:t>Settlement or award drafted, maker–checker</w:t>
            </w:r>
          </w:p>
        </w:tc>
        <w:tc>
          <w:tcPr>
            <w:tcW w:type="dxa" w:w="2880"/>
            <w:tcMar>
              <w:top w:w="60" w:type="dxa"/>
              <w:left w:w="110" w:type="dxa"/>
              <w:bottom w:w="60" w:type="dxa"/>
              <w:right w:w="110" w:type="dxa"/>
            </w:tcMar>
            <w:vAlign w:val="top"/>
          </w:tcPr>
          <w:p>
            <w:pPr>
              <w:spacing w:after="20"/>
            </w:pPr>
            <w:r>
              <w:rPr>
                <w:sz w:val="18"/>
              </w:rPr>
              <w:t>SettlementDrafted / AwardDrafted</w:t>
            </w:r>
          </w:p>
        </w:tc>
      </w:tr>
      <w:tr>
        <w:tc>
          <w:tcPr>
            <w:tcW w:type="dxa" w:w="2160"/>
            <w:shd w:val="clear" w:color="auto" w:fill="EAF1F6"/>
            <w:tcMar>
              <w:top w:w="60" w:type="dxa"/>
              <w:left w:w="110" w:type="dxa"/>
              <w:bottom w:w="60" w:type="dxa"/>
              <w:right w:w="110" w:type="dxa"/>
            </w:tcMar>
            <w:vAlign w:val="top"/>
          </w:tcPr>
          <w:p>
            <w:pPr>
              <w:spacing w:after="20"/>
            </w:pPr>
            <w:r>
              <w:rPr>
                <w:b/>
                <w:sz w:val="18"/>
              </w:rPr>
              <w:t>Signed &amp; Stamped</w:t>
            </w:r>
          </w:p>
        </w:tc>
        <w:tc>
          <w:tcPr>
            <w:tcW w:type="dxa" w:w="4320"/>
            <w:shd w:val="clear" w:color="auto" w:fill="EAF1F6"/>
            <w:tcMar>
              <w:top w:w="60" w:type="dxa"/>
              <w:left w:w="110" w:type="dxa"/>
              <w:bottom w:w="60" w:type="dxa"/>
              <w:right w:w="110" w:type="dxa"/>
            </w:tcMar>
            <w:vAlign w:val="top"/>
          </w:tcPr>
          <w:p>
            <w:pPr>
              <w:spacing w:after="20"/>
            </w:pPr>
            <w:r>
              <w:rPr>
                <w:sz w:val="18"/>
              </w:rPr>
              <w:t>e-sign + e-stamp complete</w:t>
            </w:r>
          </w:p>
        </w:tc>
        <w:tc>
          <w:tcPr>
            <w:tcW w:type="dxa" w:w="2880"/>
            <w:shd w:val="clear" w:color="auto" w:fill="EAF1F6"/>
            <w:tcMar>
              <w:top w:w="60" w:type="dxa"/>
              <w:left w:w="110" w:type="dxa"/>
              <w:bottom w:w="60" w:type="dxa"/>
              <w:right w:w="110" w:type="dxa"/>
            </w:tcMar>
            <w:vAlign w:val="top"/>
          </w:tcPr>
          <w:p>
            <w:pPr>
              <w:spacing w:after="20"/>
            </w:pPr>
            <w:r>
              <w:rPr>
                <w:sz w:val="18"/>
              </w:rPr>
              <w:t>AwardSigned, DocumentStamped</w:t>
            </w:r>
          </w:p>
        </w:tc>
      </w:tr>
      <w:tr>
        <w:tc>
          <w:tcPr>
            <w:tcW w:type="dxa" w:w="2160"/>
            <w:tcMar>
              <w:top w:w="60" w:type="dxa"/>
              <w:left w:w="110" w:type="dxa"/>
              <w:bottom w:w="60" w:type="dxa"/>
              <w:right w:w="110" w:type="dxa"/>
            </w:tcMar>
            <w:vAlign w:val="top"/>
          </w:tcPr>
          <w:p>
            <w:pPr>
              <w:spacing w:after="20"/>
            </w:pPr>
            <w:r>
              <w:rPr>
                <w:b/>
                <w:sz w:val="18"/>
              </w:rPr>
              <w:t>Funds Settled</w:t>
            </w:r>
          </w:p>
        </w:tc>
        <w:tc>
          <w:tcPr>
            <w:tcW w:type="dxa" w:w="4320"/>
            <w:tcMar>
              <w:top w:w="60" w:type="dxa"/>
              <w:left w:w="110" w:type="dxa"/>
              <w:bottom w:w="60" w:type="dxa"/>
              <w:right w:w="110" w:type="dxa"/>
            </w:tcMar>
            <w:vAlign w:val="top"/>
          </w:tcPr>
          <w:p>
            <w:pPr>
              <w:spacing w:after="20"/>
            </w:pPr>
            <w:r>
              <w:rPr>
                <w:sz w:val="18"/>
              </w:rPr>
              <w:t>Escrow release / payment complete</w:t>
            </w:r>
          </w:p>
        </w:tc>
        <w:tc>
          <w:tcPr>
            <w:tcW w:type="dxa" w:w="2880"/>
            <w:tcMar>
              <w:top w:w="60" w:type="dxa"/>
              <w:left w:w="110" w:type="dxa"/>
              <w:bottom w:w="60" w:type="dxa"/>
              <w:right w:w="110" w:type="dxa"/>
            </w:tcMar>
            <w:vAlign w:val="top"/>
          </w:tcPr>
          <w:p>
            <w:pPr>
              <w:spacing w:after="20"/>
            </w:pPr>
            <w:r>
              <w:rPr>
                <w:sz w:val="18"/>
              </w:rPr>
              <w:t>SettlementPaid</w:t>
            </w:r>
          </w:p>
        </w:tc>
      </w:tr>
      <w:tr>
        <w:tc>
          <w:tcPr>
            <w:tcW w:type="dxa" w:w="2160"/>
            <w:shd w:val="clear" w:color="auto" w:fill="EAF1F6"/>
            <w:tcMar>
              <w:top w:w="60" w:type="dxa"/>
              <w:left w:w="110" w:type="dxa"/>
              <w:bottom w:w="60" w:type="dxa"/>
              <w:right w:w="110" w:type="dxa"/>
            </w:tcMar>
            <w:vAlign w:val="top"/>
          </w:tcPr>
          <w:p>
            <w:pPr>
              <w:spacing w:after="20"/>
            </w:pPr>
            <w:r>
              <w:rPr>
                <w:b/>
                <w:sz w:val="18"/>
              </w:rPr>
              <w:t>Closed</w:t>
            </w:r>
          </w:p>
        </w:tc>
        <w:tc>
          <w:tcPr>
            <w:tcW w:type="dxa" w:w="4320"/>
            <w:shd w:val="clear" w:color="auto" w:fill="EAF1F6"/>
            <w:tcMar>
              <w:top w:w="60" w:type="dxa"/>
              <w:left w:w="110" w:type="dxa"/>
              <w:bottom w:w="60" w:type="dxa"/>
              <w:right w:w="110" w:type="dxa"/>
            </w:tcMar>
            <w:vAlign w:val="top"/>
          </w:tcPr>
          <w:p>
            <w:pPr>
              <w:spacing w:after="20"/>
            </w:pPr>
            <w:r>
              <w:rPr>
                <w:sz w:val="18"/>
              </w:rPr>
              <w:t>Certified copy issued; matter closed</w:t>
            </w:r>
          </w:p>
        </w:tc>
        <w:tc>
          <w:tcPr>
            <w:tcW w:type="dxa" w:w="2880"/>
            <w:shd w:val="clear" w:color="auto" w:fill="EAF1F6"/>
            <w:tcMar>
              <w:top w:w="60" w:type="dxa"/>
              <w:left w:w="110" w:type="dxa"/>
              <w:bottom w:w="60" w:type="dxa"/>
              <w:right w:w="110" w:type="dxa"/>
            </w:tcMar>
            <w:vAlign w:val="top"/>
          </w:tcPr>
          <w:p>
            <w:pPr>
              <w:spacing w:after="20"/>
            </w:pPr>
            <w:r>
              <w:rPr>
                <w:sz w:val="18"/>
              </w:rPr>
              <w:t>CaseClosed</w:t>
            </w:r>
          </w:p>
        </w:tc>
      </w:tr>
      <w:tr>
        <w:tc>
          <w:tcPr>
            <w:tcW w:type="dxa" w:w="2160"/>
            <w:tcMar>
              <w:top w:w="60" w:type="dxa"/>
              <w:left w:w="110" w:type="dxa"/>
              <w:bottom w:w="60" w:type="dxa"/>
              <w:right w:w="110" w:type="dxa"/>
            </w:tcMar>
            <w:vAlign w:val="top"/>
          </w:tcPr>
          <w:p>
            <w:pPr>
              <w:spacing w:after="20"/>
            </w:pPr>
            <w:r>
              <w:rPr>
                <w:b/>
                <w:sz w:val="18"/>
              </w:rPr>
              <w:t>In Execution</w:t>
            </w:r>
          </w:p>
        </w:tc>
        <w:tc>
          <w:tcPr>
            <w:tcW w:type="dxa" w:w="4320"/>
            <w:tcMar>
              <w:top w:w="60" w:type="dxa"/>
              <w:left w:w="110" w:type="dxa"/>
              <w:bottom w:w="60" w:type="dxa"/>
              <w:right w:w="110" w:type="dxa"/>
            </w:tcMar>
            <w:vAlign w:val="top"/>
          </w:tcPr>
          <w:p>
            <w:pPr>
              <w:spacing w:after="20"/>
            </w:pPr>
            <w:r>
              <w:rPr>
                <w:sz w:val="18"/>
              </w:rPr>
              <w:t>Enforcement / execution initiated</w:t>
            </w:r>
          </w:p>
        </w:tc>
        <w:tc>
          <w:tcPr>
            <w:tcW w:type="dxa" w:w="2880"/>
            <w:tcMar>
              <w:top w:w="60" w:type="dxa"/>
              <w:left w:w="110" w:type="dxa"/>
              <w:bottom w:w="60" w:type="dxa"/>
              <w:right w:w="110" w:type="dxa"/>
            </w:tcMar>
            <w:vAlign w:val="top"/>
          </w:tcPr>
          <w:p>
            <w:pPr>
              <w:spacing w:after="20"/>
            </w:pPr>
            <w:r>
              <w:rPr>
                <w:sz w:val="18"/>
              </w:rPr>
              <w:t>ExecutionInitiated</w:t>
            </w:r>
          </w:p>
        </w:tc>
      </w:tr>
      <w:tr>
        <w:tc>
          <w:tcPr>
            <w:tcW w:type="dxa" w:w="2160"/>
            <w:shd w:val="clear" w:color="auto" w:fill="EAF1F6"/>
            <w:tcMar>
              <w:top w:w="60" w:type="dxa"/>
              <w:left w:w="110" w:type="dxa"/>
              <w:bottom w:w="60" w:type="dxa"/>
              <w:right w:w="110" w:type="dxa"/>
            </w:tcMar>
            <w:vAlign w:val="top"/>
          </w:tcPr>
          <w:p>
            <w:pPr>
              <w:spacing w:after="20"/>
            </w:pPr>
            <w:r>
              <w:rPr>
                <w:b/>
                <w:sz w:val="18"/>
              </w:rPr>
              <w:t>Appealed / Challenged</w:t>
            </w:r>
          </w:p>
        </w:tc>
        <w:tc>
          <w:tcPr>
            <w:tcW w:type="dxa" w:w="4320"/>
            <w:shd w:val="clear" w:color="auto" w:fill="EAF1F6"/>
            <w:tcMar>
              <w:top w:w="60" w:type="dxa"/>
              <w:left w:w="110" w:type="dxa"/>
              <w:bottom w:w="60" w:type="dxa"/>
              <w:right w:w="110" w:type="dxa"/>
            </w:tcMar>
            <w:vAlign w:val="top"/>
          </w:tcPr>
          <w:p>
            <w:pPr>
              <w:spacing w:after="20"/>
            </w:pPr>
            <w:r>
              <w:rPr>
                <w:sz w:val="18"/>
              </w:rPr>
              <w:t>S.34 / S.28 challenge filed</w:t>
            </w:r>
          </w:p>
        </w:tc>
        <w:tc>
          <w:tcPr>
            <w:tcW w:type="dxa" w:w="2880"/>
            <w:shd w:val="clear" w:color="auto" w:fill="EAF1F6"/>
            <w:tcMar>
              <w:top w:w="60" w:type="dxa"/>
              <w:left w:w="110" w:type="dxa"/>
              <w:bottom w:w="60" w:type="dxa"/>
              <w:right w:w="110" w:type="dxa"/>
            </w:tcMar>
            <w:vAlign w:val="top"/>
          </w:tcPr>
          <w:p>
            <w:pPr>
              <w:spacing w:after="20"/>
            </w:pPr>
            <w:r>
              <w:rPr>
                <w:sz w:val="18"/>
              </w:rPr>
              <w:t>ChallengeFiled</w:t>
            </w:r>
          </w:p>
        </w:tc>
      </w:tr>
    </w:tbl>
    <w:p>
      <w:pPr>
        <w:spacing w:after="40"/>
      </w:pPr>
    </w:p>
    <w:p>
      <w:pPr>
        <w:pStyle w:val="Heading1"/>
      </w:pPr>
      <w:r>
        <w:t>7. Data Architecture</w:t>
      </w:r>
    </w:p>
    <w:p>
      <w:pPr>
        <w:pStyle w:val="Heading2"/>
      </w:pPr>
      <w:r>
        <w:t>7.1 Core domains &amp; key entities</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2160"/>
            <w:shd w:val="clear" w:color="auto" w:fill="0B2E4F"/>
            <w:tcMar>
              <w:top w:w="60" w:type="dxa"/>
              <w:left w:w="110" w:type="dxa"/>
              <w:bottom w:w="60" w:type="dxa"/>
              <w:right w:w="110" w:type="dxa"/>
            </w:tcMar>
            <w:vAlign w:val="center"/>
          </w:tcPr>
          <w:p>
            <w:pPr>
              <w:spacing w:after="20"/>
            </w:pPr>
            <w:r>
              <w:rPr>
                <w:b/>
                <w:color w:val="FFFFFF"/>
                <w:sz w:val="18"/>
              </w:rPr>
              <w:t>Domain</w:t>
            </w:r>
          </w:p>
        </w:tc>
        <w:tc>
          <w:tcPr>
            <w:tcW w:type="dxa" w:w="7200"/>
            <w:shd w:val="clear" w:color="auto" w:fill="0B2E4F"/>
            <w:tcMar>
              <w:top w:w="60" w:type="dxa"/>
              <w:left w:w="110" w:type="dxa"/>
              <w:bottom w:w="60" w:type="dxa"/>
              <w:right w:w="110" w:type="dxa"/>
            </w:tcMar>
            <w:vAlign w:val="center"/>
          </w:tcPr>
          <w:p>
            <w:pPr>
              <w:spacing w:after="20"/>
            </w:pPr>
            <w:r>
              <w:rPr>
                <w:b/>
                <w:color w:val="FFFFFF"/>
                <w:sz w:val="18"/>
              </w:rPr>
              <w:t>Key entities</w:t>
            </w:r>
          </w:p>
        </w:tc>
      </w:tr>
      <w:tr>
        <w:tc>
          <w:tcPr>
            <w:tcW w:type="dxa" w:w="2160"/>
            <w:tcMar>
              <w:top w:w="60" w:type="dxa"/>
              <w:left w:w="110" w:type="dxa"/>
              <w:bottom w:w="60" w:type="dxa"/>
              <w:right w:w="110" w:type="dxa"/>
            </w:tcMar>
            <w:vAlign w:val="top"/>
          </w:tcPr>
          <w:p>
            <w:pPr>
              <w:spacing w:after="20"/>
            </w:pPr>
            <w:r>
              <w:rPr>
                <w:b/>
                <w:sz w:val="18"/>
              </w:rPr>
              <w:t>Identity</w:t>
            </w:r>
          </w:p>
        </w:tc>
        <w:tc>
          <w:tcPr>
            <w:tcW w:type="dxa" w:w="7200"/>
            <w:tcMar>
              <w:top w:w="60" w:type="dxa"/>
              <w:left w:w="110" w:type="dxa"/>
              <w:bottom w:w="60" w:type="dxa"/>
              <w:right w:w="110" w:type="dxa"/>
            </w:tcMar>
            <w:vAlign w:val="top"/>
          </w:tcPr>
          <w:p>
            <w:pPr>
              <w:spacing w:after="20"/>
            </w:pPr>
            <w:r>
              <w:rPr>
                <w:sz w:val="18"/>
              </w:rPr>
              <w:t>users, credentials, sessions, consents, kyc_records</w:t>
            </w:r>
          </w:p>
        </w:tc>
      </w:tr>
      <w:tr>
        <w:tc>
          <w:tcPr>
            <w:tcW w:type="dxa" w:w="2160"/>
            <w:shd w:val="clear" w:color="auto" w:fill="EAF1F6"/>
            <w:tcMar>
              <w:top w:w="60" w:type="dxa"/>
              <w:left w:w="110" w:type="dxa"/>
              <w:bottom w:w="60" w:type="dxa"/>
              <w:right w:w="110" w:type="dxa"/>
            </w:tcMar>
            <w:vAlign w:val="top"/>
          </w:tcPr>
          <w:p>
            <w:pPr>
              <w:spacing w:after="20"/>
            </w:pPr>
            <w:r>
              <w:rPr>
                <w:b/>
                <w:sz w:val="18"/>
              </w:rPr>
              <w:t>Parties</w:t>
            </w:r>
          </w:p>
        </w:tc>
        <w:tc>
          <w:tcPr>
            <w:tcW w:type="dxa" w:w="7200"/>
            <w:shd w:val="clear" w:color="auto" w:fill="EAF1F6"/>
            <w:tcMar>
              <w:top w:w="60" w:type="dxa"/>
              <w:left w:w="110" w:type="dxa"/>
              <w:bottom w:w="60" w:type="dxa"/>
              <w:right w:w="110" w:type="dxa"/>
            </w:tcMar>
            <w:vAlign w:val="top"/>
          </w:tcPr>
          <w:p>
            <w:pPr>
              <w:spacing w:after="20"/>
            </w:pPr>
            <w:r>
              <w:rPr>
                <w:sz w:val="18"/>
              </w:rPr>
              <w:t>parties, entities, representatives, mandates</w:t>
            </w:r>
          </w:p>
        </w:tc>
      </w:tr>
      <w:tr>
        <w:tc>
          <w:tcPr>
            <w:tcW w:type="dxa" w:w="2160"/>
            <w:tcMar>
              <w:top w:w="60" w:type="dxa"/>
              <w:left w:w="110" w:type="dxa"/>
              <w:bottom w:w="60" w:type="dxa"/>
              <w:right w:w="110" w:type="dxa"/>
            </w:tcMar>
            <w:vAlign w:val="top"/>
          </w:tcPr>
          <w:p>
            <w:pPr>
              <w:spacing w:after="20"/>
            </w:pPr>
            <w:r>
              <w:rPr>
                <w:b/>
                <w:sz w:val="18"/>
              </w:rPr>
              <w:t>Cases</w:t>
            </w:r>
          </w:p>
        </w:tc>
        <w:tc>
          <w:tcPr>
            <w:tcW w:type="dxa" w:w="7200"/>
            <w:tcMar>
              <w:top w:w="60" w:type="dxa"/>
              <w:left w:w="110" w:type="dxa"/>
              <w:bottom w:w="60" w:type="dxa"/>
              <w:right w:w="110" w:type="dxa"/>
            </w:tcMar>
            <w:vAlign w:val="top"/>
          </w:tcPr>
          <w:p>
            <w:pPr>
              <w:spacing w:after="20"/>
            </w:pPr>
            <w:r>
              <w:rPr>
                <w:sz w:val="18"/>
              </w:rPr>
              <w:t>cases, case_parties, case_relationships, case_groups, tracks</w:t>
            </w:r>
          </w:p>
        </w:tc>
      </w:tr>
      <w:tr>
        <w:tc>
          <w:tcPr>
            <w:tcW w:type="dxa" w:w="2160"/>
            <w:shd w:val="clear" w:color="auto" w:fill="EAF1F6"/>
            <w:tcMar>
              <w:top w:w="60" w:type="dxa"/>
              <w:left w:w="110" w:type="dxa"/>
              <w:bottom w:w="60" w:type="dxa"/>
              <w:right w:w="110" w:type="dxa"/>
            </w:tcMar>
            <w:vAlign w:val="top"/>
          </w:tcPr>
          <w:p>
            <w:pPr>
              <w:spacing w:after="20"/>
            </w:pPr>
            <w:r>
              <w:rPr>
                <w:b/>
                <w:sz w:val="18"/>
              </w:rPr>
              <w:t>Rules</w:t>
            </w:r>
          </w:p>
        </w:tc>
        <w:tc>
          <w:tcPr>
            <w:tcW w:type="dxa" w:w="7200"/>
            <w:shd w:val="clear" w:color="auto" w:fill="EAF1F6"/>
            <w:tcMar>
              <w:top w:w="60" w:type="dxa"/>
              <w:left w:w="110" w:type="dxa"/>
              <w:bottom w:w="60" w:type="dxa"/>
              <w:right w:w="110" w:type="dxa"/>
            </w:tcMar>
            <w:vAlign w:val="top"/>
          </w:tcPr>
          <w:p>
            <w:pPr>
              <w:spacing w:after="20"/>
            </w:pPr>
            <w:r>
              <w:rPr>
                <w:sz w:val="18"/>
              </w:rPr>
              <w:t>rulesets, ruleset_versions, timelines, fee_schedules, sector_rulebooks</w:t>
            </w:r>
          </w:p>
        </w:tc>
      </w:tr>
      <w:tr>
        <w:tc>
          <w:tcPr>
            <w:tcW w:type="dxa" w:w="2160"/>
            <w:tcMar>
              <w:top w:w="60" w:type="dxa"/>
              <w:left w:w="110" w:type="dxa"/>
              <w:bottom w:w="60" w:type="dxa"/>
              <w:right w:w="110" w:type="dxa"/>
            </w:tcMar>
            <w:vAlign w:val="top"/>
          </w:tcPr>
          <w:p>
            <w:pPr>
              <w:spacing w:after="20"/>
            </w:pPr>
            <w:r>
              <w:rPr>
                <w:b/>
                <w:sz w:val="18"/>
              </w:rPr>
              <w:t>Neutrals</w:t>
            </w:r>
          </w:p>
        </w:tc>
        <w:tc>
          <w:tcPr>
            <w:tcW w:type="dxa" w:w="7200"/>
            <w:tcMar>
              <w:top w:w="60" w:type="dxa"/>
              <w:left w:w="110" w:type="dxa"/>
              <w:bottom w:w="60" w:type="dxa"/>
              <w:right w:w="110" w:type="dxa"/>
            </w:tcMar>
            <w:vAlign w:val="top"/>
          </w:tcPr>
          <w:p>
            <w:pPr>
              <w:spacing w:after="20"/>
            </w:pPr>
            <w:r>
              <w:rPr>
                <w:sz w:val="18"/>
              </w:rPr>
              <w:t>neutrals, empanelments, allocations, conflicts, scorecards, payouts</w:t>
            </w:r>
          </w:p>
        </w:tc>
      </w:tr>
      <w:tr>
        <w:tc>
          <w:tcPr>
            <w:tcW w:type="dxa" w:w="2160"/>
            <w:shd w:val="clear" w:color="auto" w:fill="EAF1F6"/>
            <w:tcMar>
              <w:top w:w="60" w:type="dxa"/>
              <w:left w:w="110" w:type="dxa"/>
              <w:bottom w:w="60" w:type="dxa"/>
              <w:right w:w="110" w:type="dxa"/>
            </w:tcMar>
            <w:vAlign w:val="top"/>
          </w:tcPr>
          <w:p>
            <w:pPr>
              <w:spacing w:after="20"/>
            </w:pPr>
            <w:r>
              <w:rPr>
                <w:b/>
                <w:sz w:val="18"/>
              </w:rPr>
              <w:t>Proceedings</w:t>
            </w:r>
          </w:p>
        </w:tc>
        <w:tc>
          <w:tcPr>
            <w:tcW w:type="dxa" w:w="7200"/>
            <w:shd w:val="clear" w:color="auto" w:fill="EAF1F6"/>
            <w:tcMar>
              <w:top w:w="60" w:type="dxa"/>
              <w:left w:w="110" w:type="dxa"/>
              <w:bottom w:w="60" w:type="dxa"/>
              <w:right w:w="110" w:type="dxa"/>
            </w:tcMar>
            <w:vAlign w:val="top"/>
          </w:tcPr>
          <w:p>
            <w:pPr>
              <w:spacing w:after="20"/>
            </w:pPr>
            <w:r>
              <w:rPr>
                <w:sz w:val="18"/>
              </w:rPr>
              <w:t>sessions, hearings, orders, caucuses, transcripts</w:t>
            </w:r>
          </w:p>
        </w:tc>
      </w:tr>
      <w:tr>
        <w:tc>
          <w:tcPr>
            <w:tcW w:type="dxa" w:w="2160"/>
            <w:tcMar>
              <w:top w:w="60" w:type="dxa"/>
              <w:left w:w="110" w:type="dxa"/>
              <w:bottom w:w="60" w:type="dxa"/>
              <w:right w:w="110" w:type="dxa"/>
            </w:tcMar>
            <w:vAlign w:val="top"/>
          </w:tcPr>
          <w:p>
            <w:pPr>
              <w:spacing w:after="20"/>
            </w:pPr>
            <w:r>
              <w:rPr>
                <w:b/>
                <w:sz w:val="18"/>
              </w:rPr>
              <w:t>Evidence</w:t>
            </w:r>
          </w:p>
        </w:tc>
        <w:tc>
          <w:tcPr>
            <w:tcW w:type="dxa" w:w="7200"/>
            <w:tcMar>
              <w:top w:w="60" w:type="dxa"/>
              <w:left w:w="110" w:type="dxa"/>
              <w:bottom w:w="60" w:type="dxa"/>
              <w:right w:w="110" w:type="dxa"/>
            </w:tcMar>
            <w:vAlign w:val="top"/>
          </w:tcPr>
          <w:p>
            <w:pPr>
              <w:spacing w:after="20"/>
            </w:pPr>
            <w:r>
              <w:rPr>
                <w:sz w:val="18"/>
              </w:rPr>
              <w:t>evidence_items, custody_log, documents, document_ai_jobs</w:t>
            </w:r>
          </w:p>
        </w:tc>
      </w:tr>
      <w:tr>
        <w:tc>
          <w:tcPr>
            <w:tcW w:type="dxa" w:w="2160"/>
            <w:shd w:val="clear" w:color="auto" w:fill="EAF1F6"/>
            <w:tcMar>
              <w:top w:w="60" w:type="dxa"/>
              <w:left w:w="110" w:type="dxa"/>
              <w:bottom w:w="60" w:type="dxa"/>
              <w:right w:w="110" w:type="dxa"/>
            </w:tcMar>
            <w:vAlign w:val="top"/>
          </w:tcPr>
          <w:p>
            <w:pPr>
              <w:spacing w:after="20"/>
            </w:pPr>
            <w:r>
              <w:rPr>
                <w:b/>
                <w:sz w:val="18"/>
              </w:rPr>
              <w:t>Notice</w:t>
            </w:r>
          </w:p>
        </w:tc>
        <w:tc>
          <w:tcPr>
            <w:tcW w:type="dxa" w:w="7200"/>
            <w:shd w:val="clear" w:color="auto" w:fill="EAF1F6"/>
            <w:tcMar>
              <w:top w:w="60" w:type="dxa"/>
              <w:left w:w="110" w:type="dxa"/>
              <w:bottom w:w="60" w:type="dxa"/>
              <w:right w:w="110" w:type="dxa"/>
            </w:tcMar>
            <w:vAlign w:val="top"/>
          </w:tcPr>
          <w:p>
            <w:pPr>
              <w:spacing w:after="20"/>
            </w:pPr>
            <w:r>
              <w:rPr>
                <w:sz w:val="18"/>
              </w:rPr>
              <w:t>service_attempts, service_certificates, notifications</w:t>
            </w:r>
          </w:p>
        </w:tc>
      </w:tr>
      <w:tr>
        <w:tc>
          <w:tcPr>
            <w:tcW w:type="dxa" w:w="2160"/>
            <w:tcMar>
              <w:top w:w="60" w:type="dxa"/>
              <w:left w:w="110" w:type="dxa"/>
              <w:bottom w:w="60" w:type="dxa"/>
              <w:right w:w="110" w:type="dxa"/>
            </w:tcMar>
            <w:vAlign w:val="top"/>
          </w:tcPr>
          <w:p>
            <w:pPr>
              <w:spacing w:after="20"/>
            </w:pPr>
            <w:r>
              <w:rPr>
                <w:b/>
                <w:sz w:val="18"/>
              </w:rPr>
              <w:t>Outcomes</w:t>
            </w:r>
          </w:p>
        </w:tc>
        <w:tc>
          <w:tcPr>
            <w:tcW w:type="dxa" w:w="7200"/>
            <w:tcMar>
              <w:top w:w="60" w:type="dxa"/>
              <w:left w:w="110" w:type="dxa"/>
              <w:bottom w:w="60" w:type="dxa"/>
              <w:right w:w="110" w:type="dxa"/>
            </w:tcMar>
            <w:vAlign w:val="top"/>
          </w:tcPr>
          <w:p>
            <w:pPr>
              <w:spacing w:after="20"/>
            </w:pPr>
            <w:r>
              <w:rPr>
                <w:sz w:val="18"/>
              </w:rPr>
              <w:t>settlements, awards, signatures, stamps, execution_bundles</w:t>
            </w:r>
          </w:p>
        </w:tc>
      </w:tr>
      <w:tr>
        <w:tc>
          <w:tcPr>
            <w:tcW w:type="dxa" w:w="2160"/>
            <w:shd w:val="clear" w:color="auto" w:fill="EAF1F6"/>
            <w:tcMar>
              <w:top w:w="60" w:type="dxa"/>
              <w:left w:w="110" w:type="dxa"/>
              <w:bottom w:w="60" w:type="dxa"/>
              <w:right w:w="110" w:type="dxa"/>
            </w:tcMar>
            <w:vAlign w:val="top"/>
          </w:tcPr>
          <w:p>
            <w:pPr>
              <w:spacing w:after="20"/>
            </w:pPr>
            <w:r>
              <w:rPr>
                <w:b/>
                <w:sz w:val="18"/>
              </w:rPr>
              <w:t>Finance</w:t>
            </w:r>
          </w:p>
        </w:tc>
        <w:tc>
          <w:tcPr>
            <w:tcW w:type="dxa" w:w="7200"/>
            <w:shd w:val="clear" w:color="auto" w:fill="EAF1F6"/>
            <w:tcMar>
              <w:top w:w="60" w:type="dxa"/>
              <w:left w:w="110" w:type="dxa"/>
              <w:bottom w:w="60" w:type="dxa"/>
              <w:right w:w="110" w:type="dxa"/>
            </w:tcMar>
            <w:vAlign w:val="top"/>
          </w:tcPr>
          <w:p>
            <w:pPr>
              <w:spacing w:after="20"/>
            </w:pPr>
            <w:r>
              <w:rPr>
                <w:sz w:val="18"/>
              </w:rPr>
              <w:t>invoices, payments, escrow_ledger, settlement_payments, rate_cards</w:t>
            </w:r>
          </w:p>
        </w:tc>
      </w:tr>
      <w:tr>
        <w:tc>
          <w:tcPr>
            <w:tcW w:type="dxa" w:w="2160"/>
            <w:tcMar>
              <w:top w:w="60" w:type="dxa"/>
              <w:left w:w="110" w:type="dxa"/>
              <w:bottom w:w="60" w:type="dxa"/>
              <w:right w:w="110" w:type="dxa"/>
            </w:tcMar>
            <w:vAlign w:val="top"/>
          </w:tcPr>
          <w:p>
            <w:pPr>
              <w:spacing w:after="20"/>
            </w:pPr>
            <w:r>
              <w:rPr>
                <w:b/>
                <w:sz w:val="18"/>
              </w:rPr>
              <w:t>Enterprise</w:t>
            </w:r>
          </w:p>
        </w:tc>
        <w:tc>
          <w:tcPr>
            <w:tcW w:type="dxa" w:w="7200"/>
            <w:tcMar>
              <w:top w:w="60" w:type="dxa"/>
              <w:left w:w="110" w:type="dxa"/>
              <w:bottom w:w="60" w:type="dxa"/>
              <w:right w:w="110" w:type="dxa"/>
            </w:tcMar>
            <w:vAlign w:val="top"/>
          </w:tcPr>
          <w:p>
            <w:pPr>
              <w:spacing w:after="20"/>
            </w:pPr>
            <w:r>
              <w:rPr>
                <w:sz w:val="18"/>
              </w:rPr>
              <w:t>clauses, bulk_batches, grievances, ic_committees, escalation_contracts</w:t>
            </w:r>
          </w:p>
        </w:tc>
      </w:tr>
      <w:tr>
        <w:tc>
          <w:tcPr>
            <w:tcW w:type="dxa" w:w="2160"/>
            <w:shd w:val="clear" w:color="auto" w:fill="EAF1F6"/>
            <w:tcMar>
              <w:top w:w="60" w:type="dxa"/>
              <w:left w:w="110" w:type="dxa"/>
              <w:bottom w:w="60" w:type="dxa"/>
              <w:right w:w="110" w:type="dxa"/>
            </w:tcMar>
            <w:vAlign w:val="top"/>
          </w:tcPr>
          <w:p>
            <w:pPr>
              <w:spacing w:after="20"/>
            </w:pPr>
            <w:r>
              <w:rPr>
                <w:b/>
                <w:sz w:val="18"/>
              </w:rPr>
              <w:t>AI</w:t>
            </w:r>
          </w:p>
        </w:tc>
        <w:tc>
          <w:tcPr>
            <w:tcW w:type="dxa" w:w="7200"/>
            <w:shd w:val="clear" w:color="auto" w:fill="EAF1F6"/>
            <w:tcMar>
              <w:top w:w="60" w:type="dxa"/>
              <w:left w:w="110" w:type="dxa"/>
              <w:bottom w:w="60" w:type="dxa"/>
              <w:right w:w="110" w:type="dxa"/>
            </w:tcMar>
            <w:vAlign w:val="top"/>
          </w:tcPr>
          <w:p>
            <w:pPr>
              <w:spacing w:after="20"/>
            </w:pPr>
            <w:r>
              <w:rPr>
                <w:sz w:val="18"/>
              </w:rPr>
              <w:t>explorer_sessions, ai_outputs, model_registry</w:t>
            </w:r>
          </w:p>
        </w:tc>
      </w:tr>
      <w:tr>
        <w:tc>
          <w:tcPr>
            <w:tcW w:type="dxa" w:w="2160"/>
            <w:tcMar>
              <w:top w:w="60" w:type="dxa"/>
              <w:left w:w="110" w:type="dxa"/>
              <w:bottom w:w="60" w:type="dxa"/>
              <w:right w:w="110" w:type="dxa"/>
            </w:tcMar>
            <w:vAlign w:val="top"/>
          </w:tcPr>
          <w:p>
            <w:pPr>
              <w:spacing w:after="20"/>
            </w:pPr>
            <w:r>
              <w:rPr>
                <w:b/>
                <w:sz w:val="18"/>
              </w:rPr>
              <w:t>Audit</w:t>
            </w:r>
          </w:p>
        </w:tc>
        <w:tc>
          <w:tcPr>
            <w:tcW w:type="dxa" w:w="7200"/>
            <w:tcMar>
              <w:top w:w="60" w:type="dxa"/>
              <w:left w:w="110" w:type="dxa"/>
              <w:bottom w:w="60" w:type="dxa"/>
              <w:right w:w="110" w:type="dxa"/>
            </w:tcMar>
            <w:vAlign w:val="top"/>
          </w:tcPr>
          <w:p>
            <w:pPr>
              <w:spacing w:after="20"/>
            </w:pPr>
            <w:r>
              <w:rPr>
                <w:sz w:val="18"/>
              </w:rPr>
              <w:t>audit_log (append-only, hash-chained), compliance_clock (view)</w:t>
            </w:r>
          </w:p>
        </w:tc>
      </w:tr>
    </w:tbl>
    <w:p>
      <w:pPr>
        <w:spacing w:after="40"/>
      </w:pPr>
    </w:p>
    <w:p>
      <w:pPr>
        <w:pStyle w:val="Heading2"/>
      </w:pPr>
      <w:r>
        <w:t>7.2 Anchor table — cases (illustrative)</w:t>
      </w:r>
    </w:p>
    <w:p>
      <w:pPr>
        <w:spacing w:after="120"/>
      </w:pPr>
      <w:r>
        <w:rPr>
          <w:b w:val="0"/>
        </w:rPr>
        <w:t>The full field-level schema is in EQR-12. Illustrative anchor columns on the cases table: case_id (ULID), tenant_id, pillar, track, mechanism, confidentiality_tier, ruleset_version_id, status, seat, governing_law, language, claim_value, currency, limitation_rule_id, filed_at, closed_at, is_cross_border, is_non_arbitrable, parent_case_id.</w:t>
      </w:r>
    </w:p>
    <w:p>
      <w:pPr>
        <w:pStyle w:val="Heading2"/>
      </w:pPr>
      <w:r>
        <w:t>7.3 Storage strategy</w:t>
      </w:r>
    </w:p>
    <w:p>
      <w:pPr>
        <w:pStyle w:val="ListBullet"/>
      </w:pPr>
      <w:r>
        <w:rPr>
          <w:b/>
        </w:rPr>
        <w:t xml:space="preserve">Transactional (OLTP): </w:t>
      </w:r>
      <w:r>
        <w:t>PostgreSQL per bounded context; strong consistency for the case aggregate.</w:t>
      </w:r>
    </w:p>
    <w:p>
      <w:pPr>
        <w:pStyle w:val="ListBullet"/>
      </w:pPr>
      <w:r>
        <w:rPr>
          <w:b/>
        </w:rPr>
        <w:t xml:space="preserve">Documents &amp; evidence: </w:t>
      </w:r>
      <w:r>
        <w:t>Object storage with server-side encryption, versioning and legal-hold; content-hash on write.</w:t>
      </w:r>
    </w:p>
    <w:p>
      <w:pPr>
        <w:pStyle w:val="ListBullet"/>
      </w:pPr>
      <w:r>
        <w:rPr>
          <w:b/>
        </w:rPr>
        <w:t xml:space="preserve">Search: </w:t>
      </w:r>
      <w:r>
        <w:t>Full-text and case-status search index (read model) built from domain events.</w:t>
      </w:r>
    </w:p>
    <w:p>
      <w:pPr>
        <w:pStyle w:val="ListBullet"/>
      </w:pPr>
      <w:r>
        <w:rPr>
          <w:b/>
        </w:rPr>
        <w:t xml:space="preserve">Audit: </w:t>
      </w:r>
      <w:r>
        <w:t>Append-only, hash-chained store (WORM), optionally anchored to an external trust anchor.</w:t>
      </w:r>
    </w:p>
    <w:p>
      <w:pPr>
        <w:pStyle w:val="ListBullet"/>
      </w:pPr>
      <w:r>
        <w:rPr>
          <w:b/>
        </w:rPr>
        <w:t xml:space="preserve">Analytics: </w:t>
      </w:r>
      <w:r>
        <w:t>Event-sourced read models feeding dashboards and regulator exports.</w:t>
      </w:r>
    </w:p>
    <w:p>
      <w:pPr>
        <w:pStyle w:val="ListBullet"/>
      </w:pPr>
      <w:r>
        <w:rPr>
          <w:b/>
        </w:rPr>
        <w:t xml:space="preserve">Cache / queue: </w:t>
      </w:r>
      <w:r>
        <w:t>In-memory cache for hot reads; durable message bus for domain events.</w:t>
      </w:r>
    </w:p>
    <w:p>
      <w:pPr>
        <w:pStyle w:val="Heading2"/>
      </w:pPr>
      <w:r>
        <w:t>7.4 Data residency, retention &amp; privacy</w:t>
      </w:r>
    </w:p>
    <w:p>
      <w:pPr>
        <w:spacing w:after="120"/>
      </w:pPr>
      <w:r>
        <w:rPr>
          <w:b w:val="0"/>
        </w:rPr>
        <w:t>India personal data is stored in Indian regions. Retention is per data class and per statute (e.g., consent/notice/sharing records ≥ 7 years per DPDP Rules 2025; case records per limitation and enforcement needs). POSH and marital identity fields are field-encrypted and access is need-to-know with break-glass logging. Full classification and retention schedules are in EQR-14.</w:t>
      </w:r>
    </w:p>
    <w:p>
      <w:pPr>
        <w:pStyle w:val="Heading1"/>
      </w:pPr>
      <w:r>
        <w:t>8. Integration Architecture (summary)</w:t>
      </w:r>
    </w:p>
    <w:p>
      <w:pPr>
        <w:spacing w:after="120"/>
      </w:pPr>
      <w:r>
        <w:rPr>
          <w:b w:val="0"/>
        </w:rPr>
        <w:t>Full contracts, the escalation model and the offered/consumed API surface are in EQR-06. At platform level the integration catalogue is:</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2304"/>
            <w:shd w:val="clear" w:color="auto" w:fill="0B2E4F"/>
            <w:tcMar>
              <w:top w:w="60" w:type="dxa"/>
              <w:left w:w="110" w:type="dxa"/>
              <w:bottom w:w="60" w:type="dxa"/>
              <w:right w:w="110" w:type="dxa"/>
            </w:tcMar>
            <w:vAlign w:val="center"/>
          </w:tcPr>
          <w:p>
            <w:pPr>
              <w:spacing w:after="20"/>
            </w:pPr>
            <w:r>
              <w:rPr>
                <w:b/>
                <w:color w:val="FFFFFF"/>
                <w:sz w:val="18"/>
              </w:rPr>
              <w:t>Category</w:t>
            </w:r>
          </w:p>
        </w:tc>
        <w:tc>
          <w:tcPr>
            <w:tcW w:type="dxa" w:w="7056"/>
            <w:shd w:val="clear" w:color="auto" w:fill="0B2E4F"/>
            <w:tcMar>
              <w:top w:w="60" w:type="dxa"/>
              <w:left w:w="110" w:type="dxa"/>
              <w:bottom w:w="60" w:type="dxa"/>
              <w:right w:w="110" w:type="dxa"/>
            </w:tcMar>
            <w:vAlign w:val="center"/>
          </w:tcPr>
          <w:p>
            <w:pPr>
              <w:spacing w:after="20"/>
            </w:pPr>
            <w:r>
              <w:rPr>
                <w:b/>
                <w:color w:val="FFFFFF"/>
                <w:sz w:val="18"/>
              </w:rPr>
              <w:t>Integrations</w:t>
            </w:r>
          </w:p>
        </w:tc>
      </w:tr>
      <w:tr>
        <w:tc>
          <w:tcPr>
            <w:tcW w:type="dxa" w:w="2304"/>
            <w:tcMar>
              <w:top w:w="60" w:type="dxa"/>
              <w:left w:w="110" w:type="dxa"/>
              <w:bottom w:w="60" w:type="dxa"/>
              <w:right w:w="110" w:type="dxa"/>
            </w:tcMar>
            <w:vAlign w:val="top"/>
          </w:tcPr>
          <w:p>
            <w:pPr>
              <w:spacing w:after="20"/>
            </w:pPr>
            <w:r>
              <w:rPr>
                <w:b/>
                <w:sz w:val="18"/>
              </w:rPr>
              <w:t>Payments</w:t>
            </w:r>
          </w:p>
        </w:tc>
        <w:tc>
          <w:tcPr>
            <w:tcW w:type="dxa" w:w="7056"/>
            <w:tcMar>
              <w:top w:w="60" w:type="dxa"/>
              <w:left w:w="110" w:type="dxa"/>
              <w:bottom w:w="60" w:type="dxa"/>
              <w:right w:w="110" w:type="dxa"/>
            </w:tcMar>
            <w:vAlign w:val="top"/>
          </w:tcPr>
          <w:p>
            <w:pPr>
              <w:spacing w:after="20"/>
            </w:pPr>
            <w:r>
              <w:rPr>
                <w:sz w:val="18"/>
              </w:rPr>
              <w:t>Razorpay (India: Payments, Route split-settlement, Escrow, Payouts), PayPal (international Checkout + Payouts)</w:t>
            </w:r>
          </w:p>
        </w:tc>
      </w:tr>
      <w:tr>
        <w:tc>
          <w:tcPr>
            <w:tcW w:type="dxa" w:w="2304"/>
            <w:shd w:val="clear" w:color="auto" w:fill="EAF1F6"/>
            <w:tcMar>
              <w:top w:w="60" w:type="dxa"/>
              <w:left w:w="110" w:type="dxa"/>
              <w:bottom w:w="60" w:type="dxa"/>
              <w:right w:w="110" w:type="dxa"/>
            </w:tcMar>
            <w:vAlign w:val="top"/>
          </w:tcPr>
          <w:p>
            <w:pPr>
              <w:spacing w:after="20"/>
            </w:pPr>
            <w:r>
              <w:rPr>
                <w:b/>
                <w:sz w:val="18"/>
              </w:rPr>
              <w:t>Identity &amp; signing</w:t>
            </w:r>
          </w:p>
        </w:tc>
        <w:tc>
          <w:tcPr>
            <w:tcW w:type="dxa" w:w="7056"/>
            <w:shd w:val="clear" w:color="auto" w:fill="EAF1F6"/>
            <w:tcMar>
              <w:top w:w="60" w:type="dxa"/>
              <w:left w:w="110" w:type="dxa"/>
              <w:bottom w:w="60" w:type="dxa"/>
              <w:right w:w="110" w:type="dxa"/>
            </w:tcMar>
            <w:vAlign w:val="top"/>
          </w:tcPr>
          <w:p>
            <w:pPr>
              <w:spacing w:after="20"/>
            </w:pPr>
            <w:r>
              <w:rPr>
                <w:sz w:val="18"/>
              </w:rPr>
              <w:t>Aadhaar eSign / DSC, NeSL Digital Document Execution (eStamp+eSign), video-KYC/liveness</w:t>
            </w:r>
          </w:p>
        </w:tc>
      </w:tr>
      <w:tr>
        <w:tc>
          <w:tcPr>
            <w:tcW w:type="dxa" w:w="2304"/>
            <w:tcMar>
              <w:top w:w="60" w:type="dxa"/>
              <w:left w:w="110" w:type="dxa"/>
              <w:bottom w:w="60" w:type="dxa"/>
              <w:right w:w="110" w:type="dxa"/>
            </w:tcMar>
            <w:vAlign w:val="top"/>
          </w:tcPr>
          <w:p>
            <w:pPr>
              <w:spacing w:after="20"/>
            </w:pPr>
            <w:r>
              <w:rPr>
                <w:b/>
                <w:sz w:val="18"/>
              </w:rPr>
              <w:t>e-Stamp</w:t>
            </w:r>
          </w:p>
        </w:tc>
        <w:tc>
          <w:tcPr>
            <w:tcW w:type="dxa" w:w="7056"/>
            <w:tcMar>
              <w:top w:w="60" w:type="dxa"/>
              <w:left w:w="110" w:type="dxa"/>
              <w:bottom w:w="60" w:type="dxa"/>
              <w:right w:w="110" w:type="dxa"/>
            </w:tcMar>
            <w:vAlign w:val="top"/>
          </w:tcPr>
          <w:p>
            <w:pPr>
              <w:spacing w:after="20"/>
            </w:pPr>
            <w:r>
              <w:rPr>
                <w:sz w:val="18"/>
              </w:rPr>
              <w:t>State e-stamp (SHCIL) and NeSL e-stamp for settlements/awards</w:t>
            </w:r>
          </w:p>
        </w:tc>
      </w:tr>
      <w:tr>
        <w:tc>
          <w:tcPr>
            <w:tcW w:type="dxa" w:w="2304"/>
            <w:shd w:val="clear" w:color="auto" w:fill="EAF1F6"/>
            <w:tcMar>
              <w:top w:w="60" w:type="dxa"/>
              <w:left w:w="110" w:type="dxa"/>
              <w:bottom w:w="60" w:type="dxa"/>
              <w:right w:w="110" w:type="dxa"/>
            </w:tcMar>
            <w:vAlign w:val="top"/>
          </w:tcPr>
          <w:p>
            <w:pPr>
              <w:spacing w:after="20"/>
            </w:pPr>
            <w:r>
              <w:rPr>
                <w:b/>
                <w:sz w:val="18"/>
              </w:rPr>
              <w:t>Regulator / court</w:t>
            </w:r>
          </w:p>
        </w:tc>
        <w:tc>
          <w:tcPr>
            <w:tcW w:type="dxa" w:w="7056"/>
            <w:shd w:val="clear" w:color="auto" w:fill="EAF1F6"/>
            <w:tcMar>
              <w:top w:w="60" w:type="dxa"/>
              <w:left w:w="110" w:type="dxa"/>
              <w:bottom w:w="60" w:type="dxa"/>
              <w:right w:w="110" w:type="dxa"/>
            </w:tcMar>
            <w:vAlign w:val="top"/>
          </w:tcPr>
          <w:p>
            <w:pPr>
              <w:spacing w:after="20"/>
            </w:pPr>
            <w:r>
              <w:rPr>
                <w:sz w:val="18"/>
              </w:rPr>
              <w:t>SEBI SMART-ODR / SCORES, RBI CMS, e-Courts / e-Daakhil, MSME Samadhaan, Sahamati (AA inter-member)</w:t>
            </w:r>
          </w:p>
        </w:tc>
      </w:tr>
      <w:tr>
        <w:tc>
          <w:tcPr>
            <w:tcW w:type="dxa" w:w="2304"/>
            <w:tcMar>
              <w:top w:w="60" w:type="dxa"/>
              <w:left w:w="110" w:type="dxa"/>
              <w:bottom w:w="60" w:type="dxa"/>
              <w:right w:w="110" w:type="dxa"/>
            </w:tcMar>
            <w:vAlign w:val="top"/>
          </w:tcPr>
          <w:p>
            <w:pPr>
              <w:spacing w:after="20"/>
            </w:pPr>
            <w:r>
              <w:rPr>
                <w:b/>
                <w:sz w:val="18"/>
              </w:rPr>
              <w:t>Enterprise</w:t>
            </w:r>
          </w:p>
        </w:tc>
        <w:tc>
          <w:tcPr>
            <w:tcW w:type="dxa" w:w="7056"/>
            <w:tcMar>
              <w:top w:w="60" w:type="dxa"/>
              <w:left w:w="110" w:type="dxa"/>
              <w:bottom w:w="60" w:type="dxa"/>
              <w:right w:w="110" w:type="dxa"/>
            </w:tcMar>
            <w:vAlign w:val="top"/>
          </w:tcPr>
          <w:p>
            <w:pPr>
              <w:spacing w:after="20"/>
            </w:pPr>
            <w:r>
              <w:rPr>
                <w:sz w:val="18"/>
              </w:rPr>
              <w:t>Lender/marketplace clause-embed, bulk intake (CSV/API), grievance-system webhooks, SSO</w:t>
            </w:r>
          </w:p>
        </w:tc>
      </w:tr>
      <w:tr>
        <w:tc>
          <w:tcPr>
            <w:tcW w:type="dxa" w:w="2304"/>
            <w:shd w:val="clear" w:color="auto" w:fill="EAF1F6"/>
            <w:tcMar>
              <w:top w:w="60" w:type="dxa"/>
              <w:left w:w="110" w:type="dxa"/>
              <w:bottom w:w="60" w:type="dxa"/>
              <w:right w:w="110" w:type="dxa"/>
            </w:tcMar>
            <w:vAlign w:val="top"/>
          </w:tcPr>
          <w:p>
            <w:pPr>
              <w:spacing w:after="20"/>
            </w:pPr>
            <w:r>
              <w:rPr>
                <w:b/>
                <w:sz w:val="18"/>
              </w:rPr>
              <w:t>Communications</w:t>
            </w:r>
          </w:p>
        </w:tc>
        <w:tc>
          <w:tcPr>
            <w:tcW w:type="dxa" w:w="7056"/>
            <w:shd w:val="clear" w:color="auto" w:fill="EAF1F6"/>
            <w:tcMar>
              <w:top w:w="60" w:type="dxa"/>
              <w:left w:w="110" w:type="dxa"/>
              <w:bottom w:w="60" w:type="dxa"/>
              <w:right w:w="110" w:type="dxa"/>
            </w:tcMar>
            <w:vAlign w:val="top"/>
          </w:tcPr>
          <w:p>
            <w:pPr>
              <w:spacing w:after="20"/>
            </w:pPr>
            <w:r>
              <w:rPr>
                <w:sz w:val="18"/>
              </w:rPr>
              <w:t>Email, SMS, WhatsApp Business, push; video conferencing bridge</w:t>
            </w:r>
          </w:p>
        </w:tc>
      </w:tr>
      <w:tr>
        <w:tc>
          <w:tcPr>
            <w:tcW w:type="dxa" w:w="2304"/>
            <w:tcMar>
              <w:top w:w="60" w:type="dxa"/>
              <w:left w:w="110" w:type="dxa"/>
              <w:bottom w:w="60" w:type="dxa"/>
              <w:right w:w="110" w:type="dxa"/>
            </w:tcMar>
            <w:vAlign w:val="top"/>
          </w:tcPr>
          <w:p>
            <w:pPr>
              <w:spacing w:after="20"/>
            </w:pPr>
            <w:r>
              <w:rPr>
                <w:b/>
                <w:sz w:val="18"/>
              </w:rPr>
              <w:t>AI</w:t>
            </w:r>
          </w:p>
        </w:tc>
        <w:tc>
          <w:tcPr>
            <w:tcW w:type="dxa" w:w="7056"/>
            <w:tcMar>
              <w:top w:w="60" w:type="dxa"/>
              <w:left w:w="110" w:type="dxa"/>
              <w:bottom w:w="60" w:type="dxa"/>
              <w:right w:w="110" w:type="dxa"/>
            </w:tcMar>
            <w:vAlign w:val="top"/>
          </w:tcPr>
          <w:p>
            <w:pPr>
              <w:spacing w:after="20"/>
            </w:pPr>
            <w:r>
              <w:rPr>
                <w:sz w:val="18"/>
              </w:rPr>
              <w:t>Claude API (Dispute Explorer, summarisation, drafting assist), document-AI/OCR</w:t>
            </w:r>
          </w:p>
        </w:tc>
      </w:tr>
    </w:tbl>
    <w:p>
      <w:pPr>
        <w:spacing w:after="40"/>
      </w:pPr>
    </w:p>
    <w:p>
      <w:pPr>
        <w:pStyle w:val="Heading1"/>
      </w:pPr>
      <w:r>
        <w:t>9. Security, Identity &amp; Access (summary)</w:t>
      </w:r>
    </w:p>
    <w:p>
      <w:pPr>
        <w:spacing w:after="120"/>
      </w:pPr>
      <w:r>
        <w:rPr>
          <w:b w:val="0"/>
        </w:rPr>
        <w:t>Full detail — STRIDE model, control matrix, data classification, identity assurance and deepfake defence — is in EQR-14. Platform-level posture:</w:t>
      </w:r>
    </w:p>
    <w:p>
      <w:pPr>
        <w:pStyle w:val="ListBullet"/>
      </w:pPr>
      <w:r>
        <w:rPr>
          <w:b/>
        </w:rPr>
        <w:t xml:space="preserve">Authentication: </w:t>
      </w:r>
      <w:r>
        <w:t>MFA for all staff and neutrals; risk-based step-up for parties; liveness at hearings and signing.</w:t>
      </w:r>
    </w:p>
    <w:p>
      <w:pPr>
        <w:pStyle w:val="ListBullet"/>
      </w:pPr>
      <w:r>
        <w:rPr>
          <w:b/>
        </w:rPr>
        <w:t xml:space="preserve">Authorisation: </w:t>
      </w:r>
      <w:r>
        <w:t>RBAC for coarse roles plus ABAC on tenant, case, confidentiality tier and relationship.</w:t>
      </w:r>
    </w:p>
    <w:p>
      <w:pPr>
        <w:pStyle w:val="ListBullet"/>
      </w:pPr>
      <w:r>
        <w:rPr>
          <w:b/>
        </w:rPr>
        <w:t xml:space="preserve">Data protection: </w:t>
      </w:r>
      <w:r>
        <w:t>TLS everywhere; encryption at rest; field-level encryption for POSH/marital identity.</w:t>
      </w:r>
    </w:p>
    <w:p>
      <w:pPr>
        <w:pStyle w:val="ListBullet"/>
      </w:pPr>
      <w:r>
        <w:rPr>
          <w:b/>
        </w:rPr>
        <w:t xml:space="preserve">Non-repudiation: </w:t>
      </w:r>
      <w:r>
        <w:t>Immutable, hash-chained audit; qualified timestamps on awards, settlements and admitted evidence.</w:t>
      </w:r>
    </w:p>
    <w:p>
      <w:pPr>
        <w:pStyle w:val="ListBullet"/>
      </w:pPr>
      <w:r>
        <w:rPr>
          <w:b/>
        </w:rPr>
        <w:t xml:space="preserve">Application security: </w:t>
      </w:r>
      <w:r>
        <w:t>Secure SDLC, dependency scanning, secrets management, least-privilege service identities.</w:t>
      </w:r>
    </w:p>
    <w:p>
      <w:pPr>
        <w:pStyle w:val="Heading1"/>
      </w:pPr>
      <w:r>
        <w:t>10. AI / ML Architecture</w:t>
      </w:r>
    </w:p>
    <w:p>
      <w:pPr>
        <w:pStyle w:val="Heading2"/>
      </w:pPr>
      <w:r>
        <w:t>10.1 AI capabilities by stage</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3120"/>
        <w:gridCol w:w="3120"/>
        <w:gridCol w:w="3120"/>
      </w:tblGrid>
      <w:tr>
        <w:trPr>
          <w:tblHeader w:val="true"/>
        </w:trPr>
        <w:tc>
          <w:tcPr>
            <w:tcW w:type="dxa" w:w="1728"/>
            <w:shd w:val="clear" w:color="auto" w:fill="0B2E4F"/>
            <w:tcMar>
              <w:top w:w="60" w:type="dxa"/>
              <w:left w:w="110" w:type="dxa"/>
              <w:bottom w:w="60" w:type="dxa"/>
              <w:right w:w="110" w:type="dxa"/>
            </w:tcMar>
            <w:vAlign w:val="center"/>
          </w:tcPr>
          <w:p>
            <w:pPr>
              <w:spacing w:after="20"/>
            </w:pPr>
            <w:r>
              <w:rPr>
                <w:b/>
                <w:color w:val="FFFFFF"/>
                <w:sz w:val="18"/>
              </w:rPr>
              <w:t>Stage</w:t>
            </w:r>
          </w:p>
        </w:tc>
        <w:tc>
          <w:tcPr>
            <w:tcW w:type="dxa" w:w="4752"/>
            <w:shd w:val="clear" w:color="auto" w:fill="0B2E4F"/>
            <w:tcMar>
              <w:top w:w="60" w:type="dxa"/>
              <w:left w:w="110" w:type="dxa"/>
              <w:bottom w:w="60" w:type="dxa"/>
              <w:right w:w="110" w:type="dxa"/>
            </w:tcMar>
            <w:vAlign w:val="center"/>
          </w:tcPr>
          <w:p>
            <w:pPr>
              <w:spacing w:after="20"/>
            </w:pPr>
            <w:r>
              <w:rPr>
                <w:b/>
                <w:color w:val="FFFFFF"/>
                <w:sz w:val="18"/>
              </w:rPr>
              <w:t>AI capability</w:t>
            </w:r>
          </w:p>
        </w:tc>
        <w:tc>
          <w:tcPr>
            <w:tcW w:type="dxa" w:w="2880"/>
            <w:shd w:val="clear" w:color="auto" w:fill="0B2E4F"/>
            <w:tcMar>
              <w:top w:w="60" w:type="dxa"/>
              <w:left w:w="110" w:type="dxa"/>
              <w:bottom w:w="60" w:type="dxa"/>
              <w:right w:w="110" w:type="dxa"/>
            </w:tcMar>
            <w:vAlign w:val="center"/>
          </w:tcPr>
          <w:p>
            <w:pPr>
              <w:spacing w:after="20"/>
            </w:pPr>
            <w:r>
              <w:rPr>
                <w:b/>
                <w:color w:val="FFFFFF"/>
                <w:sz w:val="18"/>
              </w:rPr>
              <w:t>Human control</w:t>
            </w:r>
          </w:p>
        </w:tc>
      </w:tr>
      <w:tr>
        <w:tc>
          <w:tcPr>
            <w:tcW w:type="dxa" w:w="1728"/>
            <w:tcMar>
              <w:top w:w="60" w:type="dxa"/>
              <w:left w:w="110" w:type="dxa"/>
              <w:bottom w:w="60" w:type="dxa"/>
              <w:right w:w="110" w:type="dxa"/>
            </w:tcMar>
            <w:vAlign w:val="top"/>
          </w:tcPr>
          <w:p>
            <w:pPr>
              <w:spacing w:after="20"/>
            </w:pPr>
            <w:r>
              <w:rPr>
                <w:b/>
                <w:sz w:val="18"/>
              </w:rPr>
              <w:t>Pre-filing</w:t>
            </w:r>
          </w:p>
        </w:tc>
        <w:tc>
          <w:tcPr>
            <w:tcW w:type="dxa" w:w="4752"/>
            <w:tcMar>
              <w:top w:w="60" w:type="dxa"/>
              <w:left w:w="110" w:type="dxa"/>
              <w:bottom w:w="60" w:type="dxa"/>
              <w:right w:w="110" w:type="dxa"/>
            </w:tcMar>
            <w:vAlign w:val="top"/>
          </w:tcPr>
          <w:p>
            <w:pPr>
              <w:spacing w:after="20"/>
            </w:pPr>
            <w:r>
              <w:rPr>
                <w:sz w:val="18"/>
              </w:rPr>
              <w:t>Dispute Explorer — viability/feasibility (Claude API), see EQR-07</w:t>
            </w:r>
          </w:p>
        </w:tc>
        <w:tc>
          <w:tcPr>
            <w:tcW w:type="dxa" w:w="2880"/>
            <w:tcMar>
              <w:top w:w="60" w:type="dxa"/>
              <w:left w:w="110" w:type="dxa"/>
              <w:bottom w:w="60" w:type="dxa"/>
              <w:right w:w="110" w:type="dxa"/>
            </w:tcMar>
            <w:vAlign w:val="top"/>
          </w:tcPr>
          <w:p>
            <w:pPr>
              <w:spacing w:after="20"/>
            </w:pPr>
            <w:r>
              <w:rPr>
                <w:sz w:val="18"/>
              </w:rPr>
              <w:t>Advisory only; no case created without party action</w:t>
            </w:r>
          </w:p>
        </w:tc>
      </w:tr>
      <w:tr>
        <w:tc>
          <w:tcPr>
            <w:tcW w:type="dxa" w:w="1728"/>
            <w:shd w:val="clear" w:color="auto" w:fill="EAF1F6"/>
            <w:tcMar>
              <w:top w:w="60" w:type="dxa"/>
              <w:left w:w="110" w:type="dxa"/>
              <w:bottom w:w="60" w:type="dxa"/>
              <w:right w:w="110" w:type="dxa"/>
            </w:tcMar>
            <w:vAlign w:val="top"/>
          </w:tcPr>
          <w:p>
            <w:pPr>
              <w:spacing w:after="20"/>
            </w:pPr>
            <w:r>
              <w:rPr>
                <w:b/>
                <w:sz w:val="18"/>
              </w:rPr>
              <w:t>Intake</w:t>
            </w:r>
          </w:p>
        </w:tc>
        <w:tc>
          <w:tcPr>
            <w:tcW w:type="dxa" w:w="4752"/>
            <w:shd w:val="clear" w:color="auto" w:fill="EAF1F6"/>
            <w:tcMar>
              <w:top w:w="60" w:type="dxa"/>
              <w:left w:w="110" w:type="dxa"/>
              <w:bottom w:w="60" w:type="dxa"/>
              <w:right w:w="110" w:type="dxa"/>
            </w:tcMar>
            <w:vAlign w:val="top"/>
          </w:tcPr>
          <w:p>
            <w:pPr>
              <w:spacing w:after="20"/>
            </w:pPr>
            <w:r>
              <w:rPr>
                <w:sz w:val="18"/>
              </w:rPr>
              <w:t>Dispute typing, clause detection, deficiency hints</w:t>
            </w:r>
          </w:p>
        </w:tc>
        <w:tc>
          <w:tcPr>
            <w:tcW w:type="dxa" w:w="2880"/>
            <w:shd w:val="clear" w:color="auto" w:fill="EAF1F6"/>
            <w:tcMar>
              <w:top w:w="60" w:type="dxa"/>
              <w:left w:w="110" w:type="dxa"/>
              <w:bottom w:w="60" w:type="dxa"/>
              <w:right w:w="110" w:type="dxa"/>
            </w:tcMar>
            <w:vAlign w:val="top"/>
          </w:tcPr>
          <w:p>
            <w:pPr>
              <w:spacing w:after="20"/>
            </w:pPr>
            <w:r>
              <w:rPr>
                <w:sz w:val="18"/>
              </w:rPr>
              <w:t>Case manager confirms classification</w:t>
            </w:r>
          </w:p>
        </w:tc>
      </w:tr>
      <w:tr>
        <w:tc>
          <w:tcPr>
            <w:tcW w:type="dxa" w:w="1728"/>
            <w:tcMar>
              <w:top w:w="60" w:type="dxa"/>
              <w:left w:w="110" w:type="dxa"/>
              <w:bottom w:w="60" w:type="dxa"/>
              <w:right w:w="110" w:type="dxa"/>
            </w:tcMar>
            <w:vAlign w:val="top"/>
          </w:tcPr>
          <w:p>
            <w:pPr>
              <w:spacing w:after="20"/>
            </w:pPr>
            <w:r>
              <w:rPr>
                <w:b/>
                <w:sz w:val="18"/>
              </w:rPr>
              <w:t>Evidence</w:t>
            </w:r>
          </w:p>
        </w:tc>
        <w:tc>
          <w:tcPr>
            <w:tcW w:type="dxa" w:w="4752"/>
            <w:tcMar>
              <w:top w:w="60" w:type="dxa"/>
              <w:left w:w="110" w:type="dxa"/>
              <w:bottom w:w="60" w:type="dxa"/>
              <w:right w:w="110" w:type="dxa"/>
            </w:tcMar>
            <w:vAlign w:val="top"/>
          </w:tcPr>
          <w:p>
            <w:pPr>
              <w:spacing w:after="20"/>
            </w:pPr>
            <w:r>
              <w:rPr>
                <w:sz w:val="18"/>
              </w:rPr>
              <w:t>Document-AI: OCR, extraction, classification, tamper hints</w:t>
            </w:r>
          </w:p>
        </w:tc>
        <w:tc>
          <w:tcPr>
            <w:tcW w:type="dxa" w:w="2880"/>
            <w:tcMar>
              <w:top w:w="60" w:type="dxa"/>
              <w:left w:w="110" w:type="dxa"/>
              <w:bottom w:w="60" w:type="dxa"/>
              <w:right w:w="110" w:type="dxa"/>
            </w:tcMar>
            <w:vAlign w:val="top"/>
          </w:tcPr>
          <w:p>
            <w:pPr>
              <w:spacing w:after="20"/>
            </w:pPr>
            <w:r>
              <w:rPr>
                <w:sz w:val="18"/>
              </w:rPr>
              <w:t>Neutral reviews; AI never admits evidence</w:t>
            </w:r>
          </w:p>
        </w:tc>
      </w:tr>
      <w:tr>
        <w:tc>
          <w:tcPr>
            <w:tcW w:type="dxa" w:w="1728"/>
            <w:shd w:val="clear" w:color="auto" w:fill="EAF1F6"/>
            <w:tcMar>
              <w:top w:w="60" w:type="dxa"/>
              <w:left w:w="110" w:type="dxa"/>
              <w:bottom w:w="60" w:type="dxa"/>
              <w:right w:w="110" w:type="dxa"/>
            </w:tcMar>
            <w:vAlign w:val="top"/>
          </w:tcPr>
          <w:p>
            <w:pPr>
              <w:spacing w:after="20"/>
            </w:pPr>
            <w:r>
              <w:rPr>
                <w:b/>
                <w:sz w:val="18"/>
              </w:rPr>
              <w:t>Proceedings</w:t>
            </w:r>
          </w:p>
        </w:tc>
        <w:tc>
          <w:tcPr>
            <w:tcW w:type="dxa" w:w="4752"/>
            <w:shd w:val="clear" w:color="auto" w:fill="EAF1F6"/>
            <w:tcMar>
              <w:top w:w="60" w:type="dxa"/>
              <w:left w:w="110" w:type="dxa"/>
              <w:bottom w:w="60" w:type="dxa"/>
              <w:right w:w="110" w:type="dxa"/>
            </w:tcMar>
            <w:vAlign w:val="top"/>
          </w:tcPr>
          <w:p>
            <w:pPr>
              <w:spacing w:after="20"/>
            </w:pPr>
            <w:r>
              <w:rPr>
                <w:sz w:val="18"/>
              </w:rPr>
              <w:t>Summarisation of filings/hearings; drafting assistance</w:t>
            </w:r>
          </w:p>
        </w:tc>
        <w:tc>
          <w:tcPr>
            <w:tcW w:type="dxa" w:w="2880"/>
            <w:shd w:val="clear" w:color="auto" w:fill="EAF1F6"/>
            <w:tcMar>
              <w:top w:w="60" w:type="dxa"/>
              <w:left w:w="110" w:type="dxa"/>
              <w:bottom w:w="60" w:type="dxa"/>
              <w:right w:w="110" w:type="dxa"/>
            </w:tcMar>
            <w:vAlign w:val="top"/>
          </w:tcPr>
          <w:p>
            <w:pPr>
              <w:spacing w:after="20"/>
            </w:pPr>
            <w:r>
              <w:rPr>
                <w:sz w:val="18"/>
              </w:rPr>
              <w:t>Neutral authors and signs; AI is attributed</w:t>
            </w:r>
          </w:p>
        </w:tc>
      </w:tr>
      <w:tr>
        <w:tc>
          <w:tcPr>
            <w:tcW w:type="dxa" w:w="1728"/>
            <w:tcMar>
              <w:top w:w="60" w:type="dxa"/>
              <w:left w:w="110" w:type="dxa"/>
              <w:bottom w:w="60" w:type="dxa"/>
              <w:right w:w="110" w:type="dxa"/>
            </w:tcMar>
            <w:vAlign w:val="top"/>
          </w:tcPr>
          <w:p>
            <w:pPr>
              <w:spacing w:after="20"/>
            </w:pPr>
            <w:r>
              <w:rPr>
                <w:b/>
                <w:sz w:val="18"/>
              </w:rPr>
              <w:t>Settlement</w:t>
            </w:r>
          </w:p>
        </w:tc>
        <w:tc>
          <w:tcPr>
            <w:tcW w:type="dxa" w:w="4752"/>
            <w:tcMar>
              <w:top w:w="60" w:type="dxa"/>
              <w:left w:w="110" w:type="dxa"/>
              <w:bottom w:w="60" w:type="dxa"/>
              <w:right w:w="110" w:type="dxa"/>
            </w:tcMar>
            <w:vAlign w:val="top"/>
          </w:tcPr>
          <w:p>
            <w:pPr>
              <w:spacing w:after="20"/>
            </w:pPr>
            <w:r>
              <w:rPr>
                <w:sz w:val="18"/>
              </w:rPr>
              <w:t>AI-facilitated negotiation aids (range/blind-bid) for money pillars</w:t>
            </w:r>
          </w:p>
        </w:tc>
        <w:tc>
          <w:tcPr>
            <w:tcW w:type="dxa" w:w="2880"/>
            <w:tcMar>
              <w:top w:w="60" w:type="dxa"/>
              <w:left w:w="110" w:type="dxa"/>
              <w:bottom w:w="60" w:type="dxa"/>
              <w:right w:w="110" w:type="dxa"/>
            </w:tcMar>
            <w:vAlign w:val="top"/>
          </w:tcPr>
          <w:p>
            <w:pPr>
              <w:spacing w:after="20"/>
            </w:pPr>
            <w:r>
              <w:rPr>
                <w:sz w:val="18"/>
              </w:rPr>
              <w:t>Parties consent; AI does not decide</w:t>
            </w:r>
          </w:p>
        </w:tc>
      </w:tr>
      <w:tr>
        <w:tc>
          <w:tcPr>
            <w:tcW w:type="dxa" w:w="1728"/>
            <w:shd w:val="clear" w:color="auto" w:fill="EAF1F6"/>
            <w:tcMar>
              <w:top w:w="60" w:type="dxa"/>
              <w:left w:w="110" w:type="dxa"/>
              <w:bottom w:w="60" w:type="dxa"/>
              <w:right w:w="110" w:type="dxa"/>
            </w:tcMar>
            <w:vAlign w:val="top"/>
          </w:tcPr>
          <w:p>
            <w:pPr>
              <w:spacing w:after="20"/>
            </w:pPr>
            <w:r>
              <w:rPr>
                <w:b/>
                <w:sz w:val="18"/>
              </w:rPr>
              <w:t>Quality</w:t>
            </w:r>
          </w:p>
        </w:tc>
        <w:tc>
          <w:tcPr>
            <w:tcW w:type="dxa" w:w="4752"/>
            <w:shd w:val="clear" w:color="auto" w:fill="EAF1F6"/>
            <w:tcMar>
              <w:top w:w="60" w:type="dxa"/>
              <w:left w:w="110" w:type="dxa"/>
              <w:bottom w:w="60" w:type="dxa"/>
              <w:right w:w="110" w:type="dxa"/>
            </w:tcMar>
            <w:vAlign w:val="top"/>
          </w:tcPr>
          <w:p>
            <w:pPr>
              <w:spacing w:after="20"/>
            </w:pPr>
            <w:r>
              <w:rPr>
                <w:sz w:val="18"/>
              </w:rPr>
              <w:t>Fairness/quality telemetry, neutral scorecards</w:t>
            </w:r>
          </w:p>
        </w:tc>
        <w:tc>
          <w:tcPr>
            <w:tcW w:type="dxa" w:w="2880"/>
            <w:shd w:val="clear" w:color="auto" w:fill="EAF1F6"/>
            <w:tcMar>
              <w:top w:w="60" w:type="dxa"/>
              <w:left w:w="110" w:type="dxa"/>
              <w:bottom w:w="60" w:type="dxa"/>
              <w:right w:w="110" w:type="dxa"/>
            </w:tcMar>
            <w:vAlign w:val="top"/>
          </w:tcPr>
          <w:p>
            <w:pPr>
              <w:spacing w:after="20"/>
            </w:pPr>
            <w:r>
              <w:rPr>
                <w:sz w:val="18"/>
              </w:rPr>
              <w:t>Oversight committee reviews</w:t>
            </w:r>
          </w:p>
        </w:tc>
      </w:tr>
    </w:tbl>
    <w:p>
      <w:pPr>
        <w:spacing w:after="40"/>
      </w:pPr>
    </w:p>
    <w:p>
      <w:pPr>
        <w:pStyle w:val="Heading2"/>
      </w:pPr>
      <w:r>
        <w:t>10.2 Responsible-AI guardrails</w:t>
      </w:r>
    </w:p>
    <w:p>
      <w:pPr>
        <w:pStyle w:val="ListBullet"/>
      </w:pPr>
      <w:r>
        <w:t>Explainability &amp; contestability — every AI suggestion carries a plain-language rationale and sources; parties/neutrals can challenge and request review.</w:t>
      </w:r>
    </w:p>
    <w:p>
      <w:pPr>
        <w:pStyle w:val="ListBullet"/>
      </w:pPr>
      <w:r>
        <w:t>AI-on-the-loop, not in-the-loop — AI flags; the neutral or party decides. This is a product rule and a policy.</w:t>
      </w:r>
    </w:p>
    <w:p>
      <w:pPr>
        <w:pStyle w:val="ListBullet"/>
      </w:pPr>
      <w:r>
        <w:t>Model registry &amp; governance — every model/version, prompt template and evaluation set is registered; changes are peer-approved.</w:t>
      </w:r>
    </w:p>
    <w:p>
      <w:pPr>
        <w:pStyle w:val="ListBullet"/>
      </w:pPr>
      <w:r>
        <w:t>Fairness monitoring — periodic bias/quality testing aligned to DPDP-SDF expectations; documented model cards.</w:t>
      </w:r>
    </w:p>
    <w:p>
      <w:pPr>
        <w:pStyle w:val="ListBullet"/>
      </w:pPr>
      <w:r>
        <w:t>Privacy — Dispute Explorer and drafting operate on minimised data with explicit consent; outputs are logged with attribution.</w:t>
      </w:r>
    </w:p>
    <w:p>
      <w:pPr>
        <w:pStyle w:val="Heading1"/>
      </w:pPr>
      <w:r>
        <w:t>11. Technology Stack &amp; Deployment</w:t>
      </w:r>
    </w:p>
    <w:p>
      <w:pPr>
        <w:pStyle w:val="Heading2"/>
      </w:pPr>
      <w:r>
        <w:t>11.1 Recommended stack</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2304"/>
            <w:shd w:val="clear" w:color="auto" w:fill="0B2E4F"/>
            <w:tcMar>
              <w:top w:w="60" w:type="dxa"/>
              <w:left w:w="110" w:type="dxa"/>
              <w:bottom w:w="60" w:type="dxa"/>
              <w:right w:w="110" w:type="dxa"/>
            </w:tcMar>
            <w:vAlign w:val="center"/>
          </w:tcPr>
          <w:p>
            <w:pPr>
              <w:spacing w:after="20"/>
            </w:pPr>
            <w:r>
              <w:rPr>
                <w:b/>
                <w:color w:val="FFFFFF"/>
                <w:sz w:val="18"/>
              </w:rPr>
              <w:t>Layer</w:t>
            </w:r>
          </w:p>
        </w:tc>
        <w:tc>
          <w:tcPr>
            <w:tcW w:type="dxa" w:w="7056"/>
            <w:shd w:val="clear" w:color="auto" w:fill="0B2E4F"/>
            <w:tcMar>
              <w:top w:w="60" w:type="dxa"/>
              <w:left w:w="110" w:type="dxa"/>
              <w:bottom w:w="60" w:type="dxa"/>
              <w:right w:w="110" w:type="dxa"/>
            </w:tcMar>
            <w:vAlign w:val="center"/>
          </w:tcPr>
          <w:p>
            <w:pPr>
              <w:spacing w:after="20"/>
            </w:pPr>
            <w:r>
              <w:rPr>
                <w:b/>
                <w:color w:val="FFFFFF"/>
                <w:sz w:val="18"/>
              </w:rPr>
              <w:t>Recommended technology (indicative)</w:t>
            </w:r>
          </w:p>
        </w:tc>
      </w:tr>
      <w:tr>
        <w:tc>
          <w:tcPr>
            <w:tcW w:type="dxa" w:w="2304"/>
            <w:tcMar>
              <w:top w:w="60" w:type="dxa"/>
              <w:left w:w="110" w:type="dxa"/>
              <w:bottom w:w="60" w:type="dxa"/>
              <w:right w:w="110" w:type="dxa"/>
            </w:tcMar>
            <w:vAlign w:val="top"/>
          </w:tcPr>
          <w:p>
            <w:pPr>
              <w:spacing w:after="20"/>
            </w:pPr>
            <w:r>
              <w:rPr>
                <w:b/>
                <w:sz w:val="18"/>
              </w:rPr>
              <w:t>Front-end web</w:t>
            </w:r>
          </w:p>
        </w:tc>
        <w:tc>
          <w:tcPr>
            <w:tcW w:type="dxa" w:w="7056"/>
            <w:tcMar>
              <w:top w:w="60" w:type="dxa"/>
              <w:left w:w="110" w:type="dxa"/>
              <w:bottom w:w="60" w:type="dxa"/>
              <w:right w:w="110" w:type="dxa"/>
            </w:tcMar>
            <w:vAlign w:val="top"/>
          </w:tcPr>
          <w:p>
            <w:pPr>
              <w:spacing w:after="20"/>
            </w:pPr>
            <w:r>
              <w:rPr>
                <w:sz w:val="18"/>
              </w:rPr>
              <w:t>TypeScript + React; accessible component library; SSR for public pages</w:t>
            </w:r>
          </w:p>
        </w:tc>
      </w:tr>
      <w:tr>
        <w:tc>
          <w:tcPr>
            <w:tcW w:type="dxa" w:w="2304"/>
            <w:shd w:val="clear" w:color="auto" w:fill="EAF1F6"/>
            <w:tcMar>
              <w:top w:w="60" w:type="dxa"/>
              <w:left w:w="110" w:type="dxa"/>
              <w:bottom w:w="60" w:type="dxa"/>
              <w:right w:w="110" w:type="dxa"/>
            </w:tcMar>
            <w:vAlign w:val="top"/>
          </w:tcPr>
          <w:p>
            <w:pPr>
              <w:spacing w:after="20"/>
            </w:pPr>
            <w:r>
              <w:rPr>
                <w:b/>
                <w:sz w:val="18"/>
              </w:rPr>
              <w:t>Mobile</w:t>
            </w:r>
          </w:p>
        </w:tc>
        <w:tc>
          <w:tcPr>
            <w:tcW w:type="dxa" w:w="7056"/>
            <w:shd w:val="clear" w:color="auto" w:fill="EAF1F6"/>
            <w:tcMar>
              <w:top w:w="60" w:type="dxa"/>
              <w:left w:w="110" w:type="dxa"/>
              <w:bottom w:w="60" w:type="dxa"/>
              <w:right w:w="110" w:type="dxa"/>
            </w:tcMar>
            <w:vAlign w:val="top"/>
          </w:tcPr>
          <w:p>
            <w:pPr>
              <w:spacing w:after="20"/>
            </w:pPr>
            <w:r>
              <w:rPr>
                <w:sz w:val="18"/>
              </w:rPr>
              <w:t>React Native or native Kotlin/Swift (see EQR-11)</w:t>
            </w:r>
          </w:p>
        </w:tc>
      </w:tr>
      <w:tr>
        <w:tc>
          <w:tcPr>
            <w:tcW w:type="dxa" w:w="2304"/>
            <w:tcMar>
              <w:top w:w="60" w:type="dxa"/>
              <w:left w:w="110" w:type="dxa"/>
              <w:bottom w:w="60" w:type="dxa"/>
              <w:right w:w="110" w:type="dxa"/>
            </w:tcMar>
            <w:vAlign w:val="top"/>
          </w:tcPr>
          <w:p>
            <w:pPr>
              <w:spacing w:after="20"/>
            </w:pPr>
            <w:r>
              <w:rPr>
                <w:b/>
                <w:sz w:val="18"/>
              </w:rPr>
              <w:t>API gateway</w:t>
            </w:r>
          </w:p>
        </w:tc>
        <w:tc>
          <w:tcPr>
            <w:tcW w:type="dxa" w:w="7056"/>
            <w:tcMar>
              <w:top w:w="60" w:type="dxa"/>
              <w:left w:w="110" w:type="dxa"/>
              <w:bottom w:w="60" w:type="dxa"/>
              <w:right w:w="110" w:type="dxa"/>
            </w:tcMar>
            <w:vAlign w:val="top"/>
          </w:tcPr>
          <w:p>
            <w:pPr>
              <w:spacing w:after="20"/>
            </w:pPr>
            <w:r>
              <w:rPr>
                <w:sz w:val="18"/>
              </w:rPr>
              <w:t>REST/JSON + webhooks; OpenAPI-described; OAuth2/OIDC</w:t>
            </w:r>
          </w:p>
        </w:tc>
      </w:tr>
      <w:tr>
        <w:tc>
          <w:tcPr>
            <w:tcW w:type="dxa" w:w="2304"/>
            <w:shd w:val="clear" w:color="auto" w:fill="EAF1F6"/>
            <w:tcMar>
              <w:top w:w="60" w:type="dxa"/>
              <w:left w:w="110" w:type="dxa"/>
              <w:bottom w:w="60" w:type="dxa"/>
              <w:right w:w="110" w:type="dxa"/>
            </w:tcMar>
            <w:vAlign w:val="top"/>
          </w:tcPr>
          <w:p>
            <w:pPr>
              <w:spacing w:after="20"/>
            </w:pPr>
            <w:r>
              <w:rPr>
                <w:b/>
                <w:sz w:val="18"/>
              </w:rPr>
              <w:t>Services</w:t>
            </w:r>
          </w:p>
        </w:tc>
        <w:tc>
          <w:tcPr>
            <w:tcW w:type="dxa" w:w="7056"/>
            <w:shd w:val="clear" w:color="auto" w:fill="EAF1F6"/>
            <w:tcMar>
              <w:top w:w="60" w:type="dxa"/>
              <w:left w:w="110" w:type="dxa"/>
              <w:bottom w:w="60" w:type="dxa"/>
              <w:right w:w="110" w:type="dxa"/>
            </w:tcMar>
            <w:vAlign w:val="top"/>
          </w:tcPr>
          <w:p>
            <w:pPr>
              <w:spacing w:after="20"/>
            </w:pPr>
            <w:r>
              <w:rPr>
                <w:sz w:val="18"/>
              </w:rPr>
              <w:t>Node.js/TypeScript and/or JVM (Kotlin) microservices; event bus (Kafka/NATS)</w:t>
            </w:r>
          </w:p>
        </w:tc>
      </w:tr>
      <w:tr>
        <w:tc>
          <w:tcPr>
            <w:tcW w:type="dxa" w:w="2304"/>
            <w:tcMar>
              <w:top w:w="60" w:type="dxa"/>
              <w:left w:w="110" w:type="dxa"/>
              <w:bottom w:w="60" w:type="dxa"/>
              <w:right w:w="110" w:type="dxa"/>
            </w:tcMar>
            <w:vAlign w:val="top"/>
          </w:tcPr>
          <w:p>
            <w:pPr>
              <w:spacing w:after="20"/>
            </w:pPr>
            <w:r>
              <w:rPr>
                <w:b/>
                <w:sz w:val="18"/>
              </w:rPr>
              <w:t>Data</w:t>
            </w:r>
          </w:p>
        </w:tc>
        <w:tc>
          <w:tcPr>
            <w:tcW w:type="dxa" w:w="7056"/>
            <w:tcMar>
              <w:top w:w="60" w:type="dxa"/>
              <w:left w:w="110" w:type="dxa"/>
              <w:bottom w:w="60" w:type="dxa"/>
              <w:right w:w="110" w:type="dxa"/>
            </w:tcMar>
            <w:vAlign w:val="top"/>
          </w:tcPr>
          <w:p>
            <w:pPr>
              <w:spacing w:after="20"/>
            </w:pPr>
            <w:r>
              <w:rPr>
                <w:sz w:val="18"/>
              </w:rPr>
              <w:t>PostgreSQL (OLTP), object storage, search index (OpenSearch), Redis cache</w:t>
            </w:r>
          </w:p>
        </w:tc>
      </w:tr>
      <w:tr>
        <w:tc>
          <w:tcPr>
            <w:tcW w:type="dxa" w:w="2304"/>
            <w:shd w:val="clear" w:color="auto" w:fill="EAF1F6"/>
            <w:tcMar>
              <w:top w:w="60" w:type="dxa"/>
              <w:left w:w="110" w:type="dxa"/>
              <w:bottom w:w="60" w:type="dxa"/>
              <w:right w:w="110" w:type="dxa"/>
            </w:tcMar>
            <w:vAlign w:val="top"/>
          </w:tcPr>
          <w:p>
            <w:pPr>
              <w:spacing w:after="20"/>
            </w:pPr>
            <w:r>
              <w:rPr>
                <w:b/>
                <w:sz w:val="18"/>
              </w:rPr>
              <w:t>AI</w:t>
            </w:r>
          </w:p>
        </w:tc>
        <w:tc>
          <w:tcPr>
            <w:tcW w:type="dxa" w:w="7056"/>
            <w:shd w:val="clear" w:color="auto" w:fill="EAF1F6"/>
            <w:tcMar>
              <w:top w:w="60" w:type="dxa"/>
              <w:left w:w="110" w:type="dxa"/>
              <w:bottom w:w="60" w:type="dxa"/>
              <w:right w:w="110" w:type="dxa"/>
            </w:tcMar>
            <w:vAlign w:val="top"/>
          </w:tcPr>
          <w:p>
            <w:pPr>
              <w:spacing w:after="20"/>
            </w:pPr>
            <w:r>
              <w:rPr>
                <w:sz w:val="18"/>
              </w:rPr>
              <w:t>Claude API via a governed AI-gateway service; document-AI/OCR pipeline</w:t>
            </w:r>
          </w:p>
        </w:tc>
      </w:tr>
      <w:tr>
        <w:tc>
          <w:tcPr>
            <w:tcW w:type="dxa" w:w="2304"/>
            <w:tcMar>
              <w:top w:w="60" w:type="dxa"/>
              <w:left w:w="110" w:type="dxa"/>
              <w:bottom w:w="60" w:type="dxa"/>
              <w:right w:w="110" w:type="dxa"/>
            </w:tcMar>
            <w:vAlign w:val="top"/>
          </w:tcPr>
          <w:p>
            <w:pPr>
              <w:spacing w:after="20"/>
            </w:pPr>
            <w:r>
              <w:rPr>
                <w:b/>
                <w:sz w:val="18"/>
              </w:rPr>
              <w:t>Infra</w:t>
            </w:r>
          </w:p>
        </w:tc>
        <w:tc>
          <w:tcPr>
            <w:tcW w:type="dxa" w:w="7056"/>
            <w:tcMar>
              <w:top w:w="60" w:type="dxa"/>
              <w:left w:w="110" w:type="dxa"/>
              <w:bottom w:w="60" w:type="dxa"/>
              <w:right w:w="110" w:type="dxa"/>
            </w:tcMar>
            <w:vAlign w:val="top"/>
          </w:tcPr>
          <w:p>
            <w:pPr>
              <w:spacing w:after="20"/>
            </w:pPr>
            <w:r>
              <w:rPr>
                <w:sz w:val="18"/>
              </w:rPr>
              <w:t>Containerised (Kubernetes) on an India region; IaC; multi-AZ; DR region</w:t>
            </w:r>
          </w:p>
        </w:tc>
      </w:tr>
      <w:tr>
        <w:tc>
          <w:tcPr>
            <w:tcW w:type="dxa" w:w="2304"/>
            <w:shd w:val="clear" w:color="auto" w:fill="EAF1F6"/>
            <w:tcMar>
              <w:top w:w="60" w:type="dxa"/>
              <w:left w:w="110" w:type="dxa"/>
              <w:bottom w:w="60" w:type="dxa"/>
              <w:right w:w="110" w:type="dxa"/>
            </w:tcMar>
            <w:vAlign w:val="top"/>
          </w:tcPr>
          <w:p>
            <w:pPr>
              <w:spacing w:after="20"/>
            </w:pPr>
            <w:r>
              <w:rPr>
                <w:b/>
                <w:sz w:val="18"/>
              </w:rPr>
              <w:t>Observability</w:t>
            </w:r>
          </w:p>
        </w:tc>
        <w:tc>
          <w:tcPr>
            <w:tcW w:type="dxa" w:w="7056"/>
            <w:shd w:val="clear" w:color="auto" w:fill="EAF1F6"/>
            <w:tcMar>
              <w:top w:w="60" w:type="dxa"/>
              <w:left w:w="110" w:type="dxa"/>
              <w:bottom w:w="60" w:type="dxa"/>
              <w:right w:w="110" w:type="dxa"/>
            </w:tcMar>
            <w:vAlign w:val="top"/>
          </w:tcPr>
          <w:p>
            <w:pPr>
              <w:spacing w:after="20"/>
            </w:pPr>
            <w:r>
              <w:rPr>
                <w:sz w:val="18"/>
              </w:rPr>
              <w:t>OpenTelemetry traces, metrics, structured PII-free logs, SIEM</w:t>
            </w:r>
          </w:p>
        </w:tc>
      </w:tr>
    </w:tbl>
    <w:p>
      <w:pPr>
        <w:spacing w:after="40"/>
      </w:pPr>
    </w:p>
    <w:p>
      <w:pPr>
        <w:pStyle w:val="Heading2"/>
      </w:pPr>
      <w:r>
        <w:t>11.2 Deployment topology</w:t>
      </w:r>
    </w:p>
    <w:p>
      <w:pPr>
        <w:spacing w:after="120"/>
      </w:pPr>
      <w:r>
        <w:rPr>
          <w:b w:val="0"/>
        </w:rPr>
        <w:t>Core case services run across multiple availability zones in an Indian region for residency and resilience; a second region stands ready for disaster recovery. Tenancy is logical (shared services, per-tenant configuration and isolation) with the option of dedicated data partitions for large enterprises. Environments (dev/stage/prod) are provisioned by infrastructure-as-code with promotion gates.</w:t>
      </w:r>
    </w:p>
    <w:p>
      <w:pPr>
        <w:pStyle w:val="Heading1"/>
      </w:pPr>
      <w:r>
        <w:t>12. Payments &amp; Fees (summary)</w:t>
      </w:r>
    </w:p>
    <w:p>
      <w:pPr>
        <w:spacing w:after="120"/>
      </w:pPr>
      <w:r>
        <w:rPr>
          <w:b w:val="0"/>
        </w:rPr>
        <w:t>Full pricing, rate cards, escrow and payout mechanics are in EQR-08. At platform level: parties pay via Razorpay (India) or PayPal (international); marketplace-style split settlement routes the neutral's fee and the platform fee separately (Razorpay Route); settlement money can be held and released through an escrow ledger; neutrals are paid out via Razorpay Payouts (India) or PayPal Payouts (international); every rate card is published and versioned.</w:t>
      </w:r>
    </w:p>
    <w:p>
      <w:pPr>
        <w:pStyle w:val="Heading1"/>
      </w:pPr>
      <w:r>
        <w:t>13. Neutrals &amp; Institution (summary)</w:t>
      </w:r>
    </w:p>
    <w:p>
      <w:pPr>
        <w:spacing w:after="120"/>
      </w:pPr>
      <w:r>
        <w:rPr>
          <w:b w:val="0"/>
        </w:rPr>
        <w:t>Full lifecycle — empanelment, allocation, working, fees, performance, retirement, complaints and accreditation — is in EQR-05. At platform level neutrals are a managed supply pool with configurable allocation (round-robin, load-balanced, rules-based, manual), conflict checks on every appointment, scorecards, and a Private Court mode that lets a neutral or institution run an independent, branded caseload on shared rails.</w:t>
      </w:r>
    </w:p>
    <w:p>
      <w:pPr>
        <w:pStyle w:val="Heading1"/>
      </w:pPr>
      <w:r>
        <w:t>14. Compliance &amp; Regulatory Control Mapping (summary)</w:t>
      </w:r>
    </w:p>
    <w:p>
      <w:pPr>
        <w:spacing w:after="120"/>
      </w:pPr>
      <w:r>
        <w:rPr>
          <w:b w:val="0"/>
        </w:rPr>
        <w:t>EQR-04 maps each statute to platform behaviour and EQR-14 maps each control to evidence. The platform treats a missed statutory clock as an incident of equal severity to an outage: legal clocks are dashboarded alongside infrastructure signals and alert before breach.</w:t>
      </w:r>
    </w:p>
    <w:p>
      <w:pPr>
        <w:pStyle w:val="Heading1"/>
      </w:pPr>
      <w:r>
        <w:t>15. Reliability, Observability &amp; Operations</w:t>
      </w:r>
    </w:p>
    <w:p>
      <w:pPr>
        <w:pStyle w:val="ListBullet"/>
      </w:pPr>
      <w:r>
        <w:rPr>
          <w:b/>
        </w:rPr>
        <w:t xml:space="preserve">Observability: </w:t>
      </w:r>
      <w:r>
        <w:t>Distributed tracing (OpenTelemetry), golden-signal and business-KPI dashboards, and legal-clock dashboards; alerts before SLA/statutory breach.</w:t>
      </w:r>
    </w:p>
    <w:p>
      <w:pPr>
        <w:pStyle w:val="ListBullet"/>
      </w:pPr>
      <w:r>
        <w:rPr>
          <w:b/>
        </w:rPr>
        <w:t xml:space="preserve">Reliability &amp; DR: </w:t>
      </w:r>
      <w:r>
        <w:t>Multi-AZ core; automated backups with point-in-time recovery; RPO ≤ 15 min / RTO ≤ 2 h; periodic restore and failover drills.</w:t>
      </w:r>
    </w:p>
    <w:p>
      <w:pPr>
        <w:pStyle w:val="ListBullet"/>
      </w:pPr>
      <w:r>
        <w:rPr>
          <w:b/>
        </w:rPr>
        <w:t xml:space="preserve">Graceful degradation: </w:t>
      </w:r>
      <w:r>
        <w:t>If video or AI is unavailable, case progress, documents and e-sign remain usable.</w:t>
      </w:r>
    </w:p>
    <w:p>
      <w:pPr>
        <w:pStyle w:val="ListBullet"/>
      </w:pPr>
      <w:r>
        <w:rPr>
          <w:b/>
        </w:rPr>
        <w:t xml:space="preserve">Operations: </w:t>
      </w:r>
      <w:r>
        <w:t>Tiered, audit-aware support; configuration changes (rulesets, fees, templates) are versioned and peer-approved.</w:t>
      </w:r>
    </w:p>
    <w:p>
      <w:pPr>
        <w:pStyle w:val="Heading1"/>
      </w:pPr>
      <w:r>
        <w:t>16. Phased Delivery Roadmap</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3120"/>
        <w:gridCol w:w="3120"/>
        <w:gridCol w:w="3120"/>
      </w:tblGrid>
      <w:tr>
        <w:trPr>
          <w:tblHeader w:val="true"/>
        </w:trPr>
        <w:tc>
          <w:tcPr>
            <w:tcW w:type="dxa" w:w="2304"/>
            <w:shd w:val="clear" w:color="auto" w:fill="0B2E4F"/>
            <w:tcMar>
              <w:top w:w="60" w:type="dxa"/>
              <w:left w:w="110" w:type="dxa"/>
              <w:bottom w:w="60" w:type="dxa"/>
              <w:right w:w="110" w:type="dxa"/>
            </w:tcMar>
            <w:vAlign w:val="center"/>
          </w:tcPr>
          <w:p>
            <w:pPr>
              <w:spacing w:after="20"/>
            </w:pPr>
            <w:r>
              <w:rPr>
                <w:b/>
                <w:color w:val="FFFFFF"/>
                <w:sz w:val="18"/>
              </w:rPr>
              <w:t>Phase</w:t>
            </w:r>
          </w:p>
        </w:tc>
        <w:tc>
          <w:tcPr>
            <w:tcW w:type="dxa" w:w="2448"/>
            <w:shd w:val="clear" w:color="auto" w:fill="0B2E4F"/>
            <w:tcMar>
              <w:top w:w="60" w:type="dxa"/>
              <w:left w:w="110" w:type="dxa"/>
              <w:bottom w:w="60" w:type="dxa"/>
              <w:right w:w="110" w:type="dxa"/>
            </w:tcMar>
            <w:vAlign w:val="center"/>
          </w:tcPr>
          <w:p>
            <w:pPr>
              <w:spacing w:after="20"/>
            </w:pPr>
            <w:r>
              <w:rPr>
                <w:b/>
                <w:color w:val="FFFFFF"/>
                <w:sz w:val="18"/>
              </w:rPr>
              <w:t>Focus</w:t>
            </w:r>
          </w:p>
        </w:tc>
        <w:tc>
          <w:tcPr>
            <w:tcW w:type="dxa" w:w="4608"/>
            <w:shd w:val="clear" w:color="auto" w:fill="0B2E4F"/>
            <w:tcMar>
              <w:top w:w="60" w:type="dxa"/>
              <w:left w:w="110" w:type="dxa"/>
              <w:bottom w:w="60" w:type="dxa"/>
              <w:right w:w="110" w:type="dxa"/>
            </w:tcMar>
            <w:vAlign w:val="center"/>
          </w:tcPr>
          <w:p>
            <w:pPr>
              <w:spacing w:after="20"/>
            </w:pPr>
            <w:r>
              <w:rPr>
                <w:b/>
                <w:color w:val="FFFFFF"/>
                <w:sz w:val="18"/>
              </w:rPr>
              <w:t>Representative scope</w:t>
            </w:r>
          </w:p>
        </w:tc>
      </w:tr>
      <w:tr>
        <w:tc>
          <w:tcPr>
            <w:tcW w:type="dxa" w:w="2304"/>
            <w:tcMar>
              <w:top w:w="60" w:type="dxa"/>
              <w:left w:w="110" w:type="dxa"/>
              <w:bottom w:w="60" w:type="dxa"/>
              <w:right w:w="110" w:type="dxa"/>
            </w:tcMar>
            <w:vAlign w:val="top"/>
          </w:tcPr>
          <w:p>
            <w:pPr>
              <w:spacing w:after="20"/>
            </w:pPr>
            <w:r>
              <w:rPr>
                <w:b/>
                <w:sz w:val="18"/>
              </w:rPr>
              <w:t>Phase 1 — Foundation</w:t>
            </w:r>
          </w:p>
        </w:tc>
        <w:tc>
          <w:tcPr>
            <w:tcW w:type="dxa" w:w="2448"/>
            <w:tcMar>
              <w:top w:w="60" w:type="dxa"/>
              <w:left w:w="110" w:type="dxa"/>
              <w:bottom w:w="60" w:type="dxa"/>
              <w:right w:w="110" w:type="dxa"/>
            </w:tcMar>
            <w:vAlign w:val="top"/>
          </w:tcPr>
          <w:p>
            <w:pPr>
              <w:spacing w:after="20"/>
            </w:pPr>
            <w:r>
              <w:rPr>
                <w:sz w:val="18"/>
              </w:rPr>
              <w:t>One volume wedge live</w:t>
            </w:r>
          </w:p>
        </w:tc>
        <w:tc>
          <w:tcPr>
            <w:tcW w:type="dxa" w:w="4608"/>
            <w:tcMar>
              <w:top w:w="60" w:type="dxa"/>
              <w:left w:w="110" w:type="dxa"/>
              <w:bottom w:w="60" w:type="dxa"/>
              <w:right w:w="110" w:type="dxa"/>
            </w:tcMar>
            <w:vAlign w:val="top"/>
          </w:tcPr>
          <w:p>
            <w:pPr>
              <w:spacing w:after="20"/>
            </w:pPr>
            <w:r>
              <w:rPr>
                <w:sz w:val="18"/>
              </w:rPr>
              <w:t>Identity, intake, case engine, one pillar (NBFC or commercial), e-sign/e-stamp, Razorpay, core dashboards, Dispute Explorer v1</w:t>
            </w:r>
          </w:p>
        </w:tc>
      </w:tr>
      <w:tr>
        <w:tc>
          <w:tcPr>
            <w:tcW w:type="dxa" w:w="2304"/>
            <w:shd w:val="clear" w:color="auto" w:fill="EAF1F6"/>
            <w:tcMar>
              <w:top w:w="60" w:type="dxa"/>
              <w:left w:w="110" w:type="dxa"/>
              <w:bottom w:w="60" w:type="dxa"/>
              <w:right w:w="110" w:type="dxa"/>
            </w:tcMar>
            <w:vAlign w:val="top"/>
          </w:tcPr>
          <w:p>
            <w:pPr>
              <w:spacing w:after="20"/>
            </w:pPr>
            <w:r>
              <w:rPr>
                <w:b/>
                <w:sz w:val="18"/>
              </w:rPr>
              <w:t>Phase 2 — Institution</w:t>
            </w:r>
          </w:p>
        </w:tc>
        <w:tc>
          <w:tcPr>
            <w:tcW w:type="dxa" w:w="2448"/>
            <w:shd w:val="clear" w:color="auto" w:fill="EAF1F6"/>
            <w:tcMar>
              <w:top w:w="60" w:type="dxa"/>
              <w:left w:w="110" w:type="dxa"/>
              <w:bottom w:w="60" w:type="dxa"/>
              <w:right w:w="110" w:type="dxa"/>
            </w:tcMar>
            <w:vAlign w:val="top"/>
          </w:tcPr>
          <w:p>
            <w:pPr>
              <w:spacing w:after="20"/>
            </w:pPr>
            <w:r>
              <w:rPr>
                <w:sz w:val="18"/>
              </w:rPr>
              <w:t>EDRS + trust segments</w:t>
            </w:r>
          </w:p>
        </w:tc>
        <w:tc>
          <w:tcPr>
            <w:tcW w:type="dxa" w:w="4608"/>
            <w:shd w:val="clear" w:color="auto" w:fill="EAF1F6"/>
            <w:tcMar>
              <w:top w:w="60" w:type="dxa"/>
              <w:left w:w="110" w:type="dxa"/>
              <w:bottom w:w="60" w:type="dxa"/>
              <w:right w:w="110" w:type="dxa"/>
            </w:tcMar>
            <w:vAlign w:val="top"/>
          </w:tcPr>
          <w:p>
            <w:pPr>
              <w:spacing w:after="20"/>
            </w:pPr>
            <w:r>
              <w:rPr>
                <w:sz w:val="18"/>
              </w:rPr>
              <w:t>Family &amp; POSH modules, neutral empanelment &amp; allocation, escrow &amp; payouts, mediation/award workflows, audit hardening</w:t>
            </w:r>
          </w:p>
        </w:tc>
      </w:tr>
      <w:tr>
        <w:tc>
          <w:tcPr>
            <w:tcW w:type="dxa" w:w="2304"/>
            <w:tcMar>
              <w:top w:w="60" w:type="dxa"/>
              <w:left w:w="110" w:type="dxa"/>
              <w:bottom w:w="60" w:type="dxa"/>
              <w:right w:w="110" w:type="dxa"/>
            </w:tcMar>
            <w:vAlign w:val="top"/>
          </w:tcPr>
          <w:p>
            <w:pPr>
              <w:spacing w:after="20"/>
            </w:pPr>
            <w:r>
              <w:rPr>
                <w:b/>
                <w:sz w:val="18"/>
              </w:rPr>
              <w:t>Phase 3 — Infrastructure</w:t>
            </w:r>
          </w:p>
        </w:tc>
        <w:tc>
          <w:tcPr>
            <w:tcW w:type="dxa" w:w="2448"/>
            <w:tcMar>
              <w:top w:w="60" w:type="dxa"/>
              <w:left w:w="110" w:type="dxa"/>
              <w:bottom w:w="60" w:type="dxa"/>
              <w:right w:w="110" w:type="dxa"/>
            </w:tcMar>
            <w:vAlign w:val="top"/>
          </w:tcPr>
          <w:p>
            <w:pPr>
              <w:spacing w:after="20"/>
            </w:pPr>
            <w:r>
              <w:rPr>
                <w:sz w:val="18"/>
              </w:rPr>
              <w:t>Private Court + API + enterprise</w:t>
            </w:r>
          </w:p>
        </w:tc>
        <w:tc>
          <w:tcPr>
            <w:tcW w:type="dxa" w:w="4608"/>
            <w:tcMar>
              <w:top w:w="60" w:type="dxa"/>
              <w:left w:w="110" w:type="dxa"/>
              <w:bottom w:w="60" w:type="dxa"/>
              <w:right w:w="110" w:type="dxa"/>
            </w:tcMar>
            <w:vAlign w:val="top"/>
          </w:tcPr>
          <w:p>
            <w:pPr>
              <w:spacing w:after="20"/>
            </w:pPr>
            <w:r>
              <w:rPr>
                <w:sz w:val="18"/>
              </w:rPr>
              <w:t>Private ADR Courts, embed/white-label API, enterprise grievance &amp; escalation, bulk intake, PayPal, mobile apps</w:t>
            </w:r>
          </w:p>
        </w:tc>
      </w:tr>
      <w:tr>
        <w:tc>
          <w:tcPr>
            <w:tcW w:type="dxa" w:w="2304"/>
            <w:shd w:val="clear" w:color="auto" w:fill="EAF1F6"/>
            <w:tcMar>
              <w:top w:w="60" w:type="dxa"/>
              <w:left w:w="110" w:type="dxa"/>
              <w:bottom w:w="60" w:type="dxa"/>
              <w:right w:w="110" w:type="dxa"/>
            </w:tcMar>
            <w:vAlign w:val="top"/>
          </w:tcPr>
          <w:p>
            <w:pPr>
              <w:spacing w:after="20"/>
            </w:pPr>
            <w:r>
              <w:rPr>
                <w:b/>
                <w:sz w:val="18"/>
              </w:rPr>
              <w:t>Phase 4 — Scale &amp; cross-border</w:t>
            </w:r>
          </w:p>
        </w:tc>
        <w:tc>
          <w:tcPr>
            <w:tcW w:type="dxa" w:w="2448"/>
            <w:shd w:val="clear" w:color="auto" w:fill="EAF1F6"/>
            <w:tcMar>
              <w:top w:w="60" w:type="dxa"/>
              <w:left w:w="110" w:type="dxa"/>
              <w:bottom w:w="60" w:type="dxa"/>
              <w:right w:w="110" w:type="dxa"/>
            </w:tcMar>
            <w:vAlign w:val="top"/>
          </w:tcPr>
          <w:p>
            <w:pPr>
              <w:spacing w:after="20"/>
            </w:pPr>
            <w:r>
              <w:rPr>
                <w:sz w:val="18"/>
              </w:rPr>
              <w:t>Multi-jurisdiction &amp; AI depth</w:t>
            </w:r>
          </w:p>
        </w:tc>
        <w:tc>
          <w:tcPr>
            <w:tcW w:type="dxa" w:w="4608"/>
            <w:shd w:val="clear" w:color="auto" w:fill="EAF1F6"/>
            <w:tcMar>
              <w:top w:w="60" w:type="dxa"/>
              <w:left w:w="110" w:type="dxa"/>
              <w:bottom w:w="60" w:type="dxa"/>
              <w:right w:w="110" w:type="dxa"/>
            </w:tcMar>
            <w:vAlign w:val="top"/>
          </w:tcPr>
          <w:p>
            <w:pPr>
              <w:spacing w:after="20"/>
            </w:pPr>
            <w:r>
              <w:rPr>
                <w:sz w:val="18"/>
              </w:rPr>
              <w:t>International modules, Singapore/NY-Convention packaging, AI-facilitated settlement, transparency reporting, ISO/SOC certification</w:t>
            </w:r>
          </w:p>
        </w:tc>
      </w:tr>
    </w:tbl>
    <w:p>
      <w:pPr>
        <w:spacing w:after="40"/>
      </w:pPr>
    </w:p>
    <w:p>
      <w:pPr>
        <w:pStyle w:val="Heading1"/>
      </w:pPr>
      <w:r>
        <w:t>17. Key Risks &amp; Mitigations</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3744"/>
            <w:shd w:val="clear" w:color="auto" w:fill="0B2E4F"/>
            <w:tcMar>
              <w:top w:w="60" w:type="dxa"/>
              <w:left w:w="110" w:type="dxa"/>
              <w:bottom w:w="60" w:type="dxa"/>
              <w:right w:w="110" w:type="dxa"/>
            </w:tcMar>
            <w:vAlign w:val="center"/>
          </w:tcPr>
          <w:p>
            <w:pPr>
              <w:spacing w:after="20"/>
            </w:pPr>
            <w:r>
              <w:rPr>
                <w:b/>
                <w:color w:val="FFFFFF"/>
                <w:sz w:val="18"/>
              </w:rPr>
              <w:t>Risk</w:t>
            </w:r>
          </w:p>
        </w:tc>
        <w:tc>
          <w:tcPr>
            <w:tcW w:type="dxa" w:w="5616"/>
            <w:shd w:val="clear" w:color="auto" w:fill="0B2E4F"/>
            <w:tcMar>
              <w:top w:w="60" w:type="dxa"/>
              <w:left w:w="110" w:type="dxa"/>
              <w:bottom w:w="60" w:type="dxa"/>
              <w:right w:w="110" w:type="dxa"/>
            </w:tcMar>
            <w:vAlign w:val="center"/>
          </w:tcPr>
          <w:p>
            <w:pPr>
              <w:spacing w:after="20"/>
            </w:pPr>
            <w:r>
              <w:rPr>
                <w:b/>
                <w:color w:val="FFFFFF"/>
                <w:sz w:val="18"/>
              </w:rPr>
              <w:t>Mitigation</w:t>
            </w:r>
          </w:p>
        </w:tc>
      </w:tr>
      <w:tr>
        <w:tc>
          <w:tcPr>
            <w:tcW w:type="dxa" w:w="3744"/>
            <w:tcMar>
              <w:top w:w="60" w:type="dxa"/>
              <w:left w:w="110" w:type="dxa"/>
              <w:bottom w:w="60" w:type="dxa"/>
              <w:right w:w="110" w:type="dxa"/>
            </w:tcMar>
            <w:vAlign w:val="top"/>
          </w:tcPr>
          <w:p>
            <w:pPr>
              <w:spacing w:after="20"/>
            </w:pPr>
            <w:r>
              <w:rPr>
                <w:b/>
                <w:sz w:val="18"/>
              </w:rPr>
              <w:t>Enforceability challenge to online awards/settlements</w:t>
            </w:r>
          </w:p>
        </w:tc>
        <w:tc>
          <w:tcPr>
            <w:tcW w:type="dxa" w:w="5616"/>
            <w:tcMar>
              <w:top w:w="60" w:type="dxa"/>
              <w:left w:w="110" w:type="dxa"/>
              <w:bottom w:w="60" w:type="dxa"/>
              <w:right w:w="110" w:type="dxa"/>
            </w:tcMar>
            <w:vAlign w:val="top"/>
          </w:tcPr>
          <w:p>
            <w:pPr>
              <w:spacing w:after="20"/>
            </w:pPr>
            <w:r>
              <w:rPr>
                <w:sz w:val="18"/>
              </w:rPr>
              <w:t>Qualified timestamps, chain-of-custody, execution bundle, S.36/S.27 alignment (EQR-04)</w:t>
            </w:r>
          </w:p>
        </w:tc>
      </w:tr>
      <w:tr>
        <w:tc>
          <w:tcPr>
            <w:tcW w:type="dxa" w:w="3744"/>
            <w:shd w:val="clear" w:color="auto" w:fill="EAF1F6"/>
            <w:tcMar>
              <w:top w:w="60" w:type="dxa"/>
              <w:left w:w="110" w:type="dxa"/>
              <w:bottom w:w="60" w:type="dxa"/>
              <w:right w:w="110" w:type="dxa"/>
            </w:tcMar>
            <w:vAlign w:val="top"/>
          </w:tcPr>
          <w:p>
            <w:pPr>
              <w:spacing w:after="20"/>
            </w:pPr>
            <w:r>
              <w:rPr>
                <w:b/>
                <w:sz w:val="18"/>
              </w:rPr>
              <w:t>Two-sided cold start (parties vs. neutrals)</w:t>
            </w:r>
          </w:p>
        </w:tc>
        <w:tc>
          <w:tcPr>
            <w:tcW w:type="dxa" w:w="5616"/>
            <w:shd w:val="clear" w:color="auto" w:fill="EAF1F6"/>
            <w:tcMar>
              <w:top w:w="60" w:type="dxa"/>
              <w:left w:w="110" w:type="dxa"/>
              <w:bottom w:w="60" w:type="dxa"/>
              <w:right w:w="110" w:type="dxa"/>
            </w:tcMar>
            <w:vAlign w:val="top"/>
          </w:tcPr>
          <w:p>
            <w:pPr>
              <w:spacing w:after="20"/>
            </w:pPr>
            <w:r>
              <w:rPr>
                <w:sz w:val="18"/>
              </w:rPr>
              <w:t>Academy→empanelment funnel; lead with mandated NBFC volume; Private Court supply</w:t>
            </w:r>
          </w:p>
        </w:tc>
      </w:tr>
      <w:tr>
        <w:tc>
          <w:tcPr>
            <w:tcW w:type="dxa" w:w="3744"/>
            <w:tcMar>
              <w:top w:w="60" w:type="dxa"/>
              <w:left w:w="110" w:type="dxa"/>
              <w:bottom w:w="60" w:type="dxa"/>
              <w:right w:w="110" w:type="dxa"/>
            </w:tcMar>
            <w:vAlign w:val="top"/>
          </w:tcPr>
          <w:p>
            <w:pPr>
              <w:spacing w:after="20"/>
            </w:pPr>
            <w:r>
              <w:rPr>
                <w:b/>
                <w:sz w:val="18"/>
              </w:rPr>
              <w:t>Regulatory change (DPDP, Arbitration Bill)</w:t>
            </w:r>
          </w:p>
        </w:tc>
        <w:tc>
          <w:tcPr>
            <w:tcW w:type="dxa" w:w="5616"/>
            <w:tcMar>
              <w:top w:w="60" w:type="dxa"/>
              <w:left w:w="110" w:type="dxa"/>
              <w:bottom w:w="60" w:type="dxa"/>
              <w:right w:w="110" w:type="dxa"/>
            </w:tcMar>
            <w:vAlign w:val="top"/>
          </w:tcPr>
          <w:p>
            <w:pPr>
              <w:spacing w:after="20"/>
            </w:pPr>
            <w:r>
              <w:rPr>
                <w:sz w:val="18"/>
              </w:rPr>
              <w:t>Configuration-over-code; ruleset versioning; forward-compatible design</w:t>
            </w:r>
          </w:p>
        </w:tc>
      </w:tr>
      <w:tr>
        <w:tc>
          <w:tcPr>
            <w:tcW w:type="dxa" w:w="3744"/>
            <w:shd w:val="clear" w:color="auto" w:fill="EAF1F6"/>
            <w:tcMar>
              <w:top w:w="60" w:type="dxa"/>
              <w:left w:w="110" w:type="dxa"/>
              <w:bottom w:w="60" w:type="dxa"/>
              <w:right w:w="110" w:type="dxa"/>
            </w:tcMar>
            <w:vAlign w:val="top"/>
          </w:tcPr>
          <w:p>
            <w:pPr>
              <w:spacing w:after="20"/>
            </w:pPr>
            <w:r>
              <w:rPr>
                <w:b/>
                <w:sz w:val="18"/>
              </w:rPr>
              <w:t>Confidentiality breach (POSH/marital)</w:t>
            </w:r>
          </w:p>
        </w:tc>
        <w:tc>
          <w:tcPr>
            <w:tcW w:type="dxa" w:w="5616"/>
            <w:shd w:val="clear" w:color="auto" w:fill="EAF1F6"/>
            <w:tcMar>
              <w:top w:w="60" w:type="dxa"/>
              <w:left w:w="110" w:type="dxa"/>
              <w:bottom w:w="60" w:type="dxa"/>
              <w:right w:w="110" w:type="dxa"/>
            </w:tcMar>
            <w:vAlign w:val="top"/>
          </w:tcPr>
          <w:p>
            <w:pPr>
              <w:spacing w:after="20"/>
            </w:pPr>
            <w:r>
              <w:rPr>
                <w:sz w:val="18"/>
              </w:rPr>
              <w:t>Field-level encryption, need-to-know, break-glass logging, tier-driven redaction</w:t>
            </w:r>
          </w:p>
        </w:tc>
      </w:tr>
      <w:tr>
        <w:tc>
          <w:tcPr>
            <w:tcW w:type="dxa" w:w="3744"/>
            <w:tcMar>
              <w:top w:w="60" w:type="dxa"/>
              <w:left w:w="110" w:type="dxa"/>
              <w:bottom w:w="60" w:type="dxa"/>
              <w:right w:w="110" w:type="dxa"/>
            </w:tcMar>
            <w:vAlign w:val="top"/>
          </w:tcPr>
          <w:p>
            <w:pPr>
              <w:spacing w:after="20"/>
            </w:pPr>
            <w:r>
              <w:rPr>
                <w:b/>
                <w:sz w:val="18"/>
              </w:rPr>
              <w:t>AI error or bias</w:t>
            </w:r>
          </w:p>
        </w:tc>
        <w:tc>
          <w:tcPr>
            <w:tcW w:type="dxa" w:w="5616"/>
            <w:tcMar>
              <w:top w:w="60" w:type="dxa"/>
              <w:left w:w="110" w:type="dxa"/>
              <w:bottom w:w="60" w:type="dxa"/>
              <w:right w:w="110" w:type="dxa"/>
            </w:tcMar>
            <w:vAlign w:val="top"/>
          </w:tcPr>
          <w:p>
            <w:pPr>
              <w:spacing w:after="20"/>
            </w:pPr>
            <w:r>
              <w:rPr>
                <w:sz w:val="18"/>
              </w:rPr>
              <w:t>Advisory-only stance, explainability, model governance, human sign-off</w:t>
            </w:r>
          </w:p>
        </w:tc>
      </w:tr>
      <w:tr>
        <w:tc>
          <w:tcPr>
            <w:tcW w:type="dxa" w:w="3744"/>
            <w:shd w:val="clear" w:color="auto" w:fill="EAF1F6"/>
            <w:tcMar>
              <w:top w:w="60" w:type="dxa"/>
              <w:left w:w="110" w:type="dxa"/>
              <w:bottom w:w="60" w:type="dxa"/>
              <w:right w:w="110" w:type="dxa"/>
            </w:tcMar>
            <w:vAlign w:val="top"/>
          </w:tcPr>
          <w:p>
            <w:pPr>
              <w:spacing w:after="20"/>
            </w:pPr>
            <w:r>
              <w:rPr>
                <w:b/>
                <w:sz w:val="18"/>
              </w:rPr>
              <w:t>Incumbent competition (SAMA, Presolv360, Jupitice)</w:t>
            </w:r>
          </w:p>
        </w:tc>
        <w:tc>
          <w:tcPr>
            <w:tcW w:type="dxa" w:w="5616"/>
            <w:shd w:val="clear" w:color="auto" w:fill="EAF1F6"/>
            <w:tcMar>
              <w:top w:w="60" w:type="dxa"/>
              <w:left w:w="110" w:type="dxa"/>
              <w:bottom w:w="60" w:type="dxa"/>
              <w:right w:w="110" w:type="dxa"/>
            </w:tcMar>
            <w:vAlign w:val="top"/>
          </w:tcPr>
          <w:p>
            <w:pPr>
              <w:spacing w:after="20"/>
            </w:pPr>
            <w:r>
              <w:rPr>
                <w:sz w:val="18"/>
              </w:rPr>
              <w:t>Multi-segment breadth + transparent pricing + document-AI parity + Private Court</w:t>
            </w:r>
          </w:p>
        </w:tc>
      </w:tr>
    </w:tbl>
    <w:p>
      <w:pPr>
        <w:spacing w:after="40"/>
      </w:pPr>
    </w:p>
    <w:p>
      <w:pPr>
        <w:pStyle w:val="Heading1"/>
      </w:pPr>
      <w:r>
        <w:t>18. Consolidated Capability Register</w:t>
      </w:r>
    </w:p>
    <w:p>
      <w:pPr>
        <w:spacing w:after="120"/>
      </w:pPr>
      <w:r>
        <w:rPr>
          <w:b w:val="0"/>
        </w:rPr>
        <w:t>The prior masters accumulated 31 enhancements across three versions (v1.1 enforceability, v1.2 production-hardening, v1.3 competitive-response). They are consolidated here as a single capability register; the duplicated version-by-version listings have been removed.</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3120"/>
        <w:gridCol w:w="3120"/>
        <w:gridCol w:w="3120"/>
      </w:tblGrid>
      <w:tr>
        <w:trPr>
          <w:tblHeader w:val="true"/>
        </w:trPr>
        <w:tc>
          <w:tcPr>
            <w:tcW w:type="dxa" w:w="2736"/>
            <w:shd w:val="clear" w:color="auto" w:fill="0B2E4F"/>
            <w:tcMar>
              <w:top w:w="60" w:type="dxa"/>
              <w:left w:w="110" w:type="dxa"/>
              <w:bottom w:w="60" w:type="dxa"/>
              <w:right w:w="110" w:type="dxa"/>
            </w:tcMar>
            <w:vAlign w:val="center"/>
          </w:tcPr>
          <w:p>
            <w:pPr>
              <w:spacing w:after="20"/>
            </w:pPr>
            <w:r>
              <w:rPr>
                <w:b/>
                <w:color w:val="FFFFFF"/>
                <w:sz w:val="17"/>
              </w:rPr>
              <w:t>Capability</w:t>
            </w:r>
          </w:p>
        </w:tc>
        <w:tc>
          <w:tcPr>
            <w:tcW w:type="dxa" w:w="3456"/>
            <w:shd w:val="clear" w:color="auto" w:fill="0B2E4F"/>
            <w:tcMar>
              <w:top w:w="60" w:type="dxa"/>
              <w:left w:w="110" w:type="dxa"/>
              <w:bottom w:w="60" w:type="dxa"/>
              <w:right w:w="110" w:type="dxa"/>
            </w:tcMar>
            <w:vAlign w:val="center"/>
          </w:tcPr>
          <w:p>
            <w:pPr>
              <w:spacing w:after="20"/>
            </w:pPr>
            <w:r>
              <w:rPr>
                <w:b/>
                <w:color w:val="FFFFFF"/>
                <w:sz w:val="17"/>
              </w:rPr>
              <w:t>Purpose</w:t>
            </w:r>
          </w:p>
        </w:tc>
        <w:tc>
          <w:tcPr>
            <w:tcW w:type="dxa" w:w="3168"/>
            <w:shd w:val="clear" w:color="auto" w:fill="0B2E4F"/>
            <w:tcMar>
              <w:top w:w="60" w:type="dxa"/>
              <w:left w:w="110" w:type="dxa"/>
              <w:bottom w:w="60" w:type="dxa"/>
              <w:right w:w="110" w:type="dxa"/>
            </w:tcMar>
            <w:vAlign w:val="center"/>
          </w:tcPr>
          <w:p>
            <w:pPr>
              <w:spacing w:after="20"/>
            </w:pPr>
            <w:r>
              <w:rPr>
                <w:b/>
                <w:color w:val="FFFFFF"/>
                <w:sz w:val="17"/>
              </w:rPr>
              <w:t>Primary tables / service</w:t>
            </w:r>
          </w:p>
        </w:tc>
      </w:tr>
      <w:tr>
        <w:tc>
          <w:tcPr>
            <w:tcW w:type="dxa" w:w="2736"/>
            <w:tcMar>
              <w:top w:w="60" w:type="dxa"/>
              <w:left w:w="110" w:type="dxa"/>
              <w:bottom w:w="60" w:type="dxa"/>
              <w:right w:w="110" w:type="dxa"/>
            </w:tcMar>
            <w:vAlign w:val="top"/>
          </w:tcPr>
          <w:p>
            <w:pPr>
              <w:spacing w:after="20"/>
            </w:pPr>
            <w:r>
              <w:rPr>
                <w:b/>
                <w:sz w:val="17"/>
              </w:rPr>
              <w:t>Escalation Contract</w:t>
            </w:r>
          </w:p>
        </w:tc>
        <w:tc>
          <w:tcPr>
            <w:tcW w:type="dxa" w:w="3456"/>
            <w:tcMar>
              <w:top w:w="60" w:type="dxa"/>
              <w:left w:w="110" w:type="dxa"/>
              <w:bottom w:w="60" w:type="dxa"/>
              <w:right w:w="110" w:type="dxa"/>
            </w:tcMar>
            <w:vAlign w:val="top"/>
          </w:tcPr>
          <w:p>
            <w:pPr>
              <w:spacing w:after="20"/>
            </w:pPr>
            <w:r>
              <w:rPr>
                <w:sz w:val="17"/>
              </w:rPr>
              <w:t>Hard hand-off across stages/domains</w:t>
            </w:r>
          </w:p>
        </w:tc>
        <w:tc>
          <w:tcPr>
            <w:tcW w:type="dxa" w:w="3168"/>
            <w:tcMar>
              <w:top w:w="60" w:type="dxa"/>
              <w:left w:w="110" w:type="dxa"/>
              <w:bottom w:w="60" w:type="dxa"/>
              <w:right w:w="110" w:type="dxa"/>
            </w:tcMar>
            <w:vAlign w:val="top"/>
          </w:tcPr>
          <w:p>
            <w:pPr>
              <w:spacing w:after="20"/>
            </w:pPr>
            <w:r>
              <w:rPr>
                <w:sz w:val="17"/>
              </w:rPr>
              <w:t>escalation_contracts / enterprise-svc</w:t>
            </w:r>
          </w:p>
        </w:tc>
      </w:tr>
      <w:tr>
        <w:tc>
          <w:tcPr>
            <w:tcW w:type="dxa" w:w="2736"/>
            <w:shd w:val="clear" w:color="auto" w:fill="EAF1F6"/>
            <w:tcMar>
              <w:top w:w="60" w:type="dxa"/>
              <w:left w:w="110" w:type="dxa"/>
              <w:bottom w:w="60" w:type="dxa"/>
              <w:right w:w="110" w:type="dxa"/>
            </w:tcMar>
            <w:vAlign w:val="top"/>
          </w:tcPr>
          <w:p>
            <w:pPr>
              <w:spacing w:after="20"/>
            </w:pPr>
            <w:r>
              <w:rPr>
                <w:b/>
                <w:sz w:val="17"/>
              </w:rPr>
              <w:t>Conflict-of-Interest Engine</w:t>
            </w:r>
          </w:p>
        </w:tc>
        <w:tc>
          <w:tcPr>
            <w:tcW w:type="dxa" w:w="3456"/>
            <w:shd w:val="clear" w:color="auto" w:fill="EAF1F6"/>
            <w:tcMar>
              <w:top w:w="60" w:type="dxa"/>
              <w:left w:w="110" w:type="dxa"/>
              <w:bottom w:w="60" w:type="dxa"/>
              <w:right w:w="110" w:type="dxa"/>
            </w:tcMar>
            <w:vAlign w:val="top"/>
          </w:tcPr>
          <w:p>
            <w:pPr>
              <w:spacing w:after="20"/>
            </w:pPr>
            <w:r>
              <w:rPr>
                <w:sz w:val="17"/>
              </w:rPr>
              <w:t>Graph-based conflict checks on appointment</w:t>
            </w:r>
          </w:p>
        </w:tc>
        <w:tc>
          <w:tcPr>
            <w:tcW w:type="dxa" w:w="3168"/>
            <w:shd w:val="clear" w:color="auto" w:fill="EAF1F6"/>
            <w:tcMar>
              <w:top w:w="60" w:type="dxa"/>
              <w:left w:w="110" w:type="dxa"/>
              <w:bottom w:w="60" w:type="dxa"/>
              <w:right w:w="110" w:type="dxa"/>
            </w:tcMar>
            <w:vAlign w:val="top"/>
          </w:tcPr>
          <w:p>
            <w:pPr>
              <w:spacing w:after="20"/>
            </w:pPr>
            <w:r>
              <w:rPr>
                <w:sz w:val="17"/>
              </w:rPr>
              <w:t>conflict_graph, conflict_edges / neutral-svc</w:t>
            </w:r>
          </w:p>
        </w:tc>
      </w:tr>
      <w:tr>
        <w:tc>
          <w:tcPr>
            <w:tcW w:type="dxa" w:w="2736"/>
            <w:tcMar>
              <w:top w:w="60" w:type="dxa"/>
              <w:left w:w="110" w:type="dxa"/>
              <w:bottom w:w="60" w:type="dxa"/>
              <w:right w:w="110" w:type="dxa"/>
            </w:tcMar>
            <w:vAlign w:val="top"/>
          </w:tcPr>
          <w:p>
            <w:pPr>
              <w:spacing w:after="20"/>
            </w:pPr>
            <w:r>
              <w:rPr>
                <w:b/>
                <w:sz w:val="17"/>
              </w:rPr>
              <w:t>AI / Model Governance</w:t>
            </w:r>
          </w:p>
        </w:tc>
        <w:tc>
          <w:tcPr>
            <w:tcW w:type="dxa" w:w="3456"/>
            <w:tcMar>
              <w:top w:w="60" w:type="dxa"/>
              <w:left w:w="110" w:type="dxa"/>
              <w:bottom w:w="60" w:type="dxa"/>
              <w:right w:w="110" w:type="dxa"/>
            </w:tcMar>
            <w:vAlign w:val="top"/>
          </w:tcPr>
          <w:p>
            <w:pPr>
              <w:spacing w:after="20"/>
            </w:pPr>
            <w:r>
              <w:rPr>
                <w:sz w:val="17"/>
              </w:rPr>
              <w:t>Registry, tiers, attribution for all AI</w:t>
            </w:r>
          </w:p>
        </w:tc>
        <w:tc>
          <w:tcPr>
            <w:tcW w:type="dxa" w:w="3168"/>
            <w:tcMar>
              <w:top w:w="60" w:type="dxa"/>
              <w:left w:w="110" w:type="dxa"/>
              <w:bottom w:w="60" w:type="dxa"/>
              <w:right w:w="110" w:type="dxa"/>
            </w:tcMar>
            <w:vAlign w:val="top"/>
          </w:tcPr>
          <w:p>
            <w:pPr>
              <w:spacing w:after="20"/>
            </w:pPr>
            <w:r>
              <w:rPr>
                <w:sz w:val="17"/>
              </w:rPr>
              <w:t>model_registry, ai_outputs / explorer-svc</w:t>
            </w:r>
          </w:p>
        </w:tc>
      </w:tr>
      <w:tr>
        <w:tc>
          <w:tcPr>
            <w:tcW w:type="dxa" w:w="2736"/>
            <w:shd w:val="clear" w:color="auto" w:fill="EAF1F6"/>
            <w:tcMar>
              <w:top w:w="60" w:type="dxa"/>
              <w:left w:w="110" w:type="dxa"/>
              <w:bottom w:w="60" w:type="dxa"/>
              <w:right w:w="110" w:type="dxa"/>
            </w:tcMar>
            <w:vAlign w:val="top"/>
          </w:tcPr>
          <w:p>
            <w:pPr>
              <w:spacing w:after="20"/>
            </w:pPr>
            <w:r>
              <w:rPr>
                <w:b/>
                <w:sz w:val="17"/>
              </w:rPr>
              <w:t>Service-of-Process</w:t>
            </w:r>
          </w:p>
        </w:tc>
        <w:tc>
          <w:tcPr>
            <w:tcW w:type="dxa" w:w="3456"/>
            <w:shd w:val="clear" w:color="auto" w:fill="EAF1F6"/>
            <w:tcMar>
              <w:top w:w="60" w:type="dxa"/>
              <w:left w:w="110" w:type="dxa"/>
              <w:bottom w:w="60" w:type="dxa"/>
              <w:right w:w="110" w:type="dxa"/>
            </w:tcMar>
            <w:vAlign w:val="top"/>
          </w:tcPr>
          <w:p>
            <w:pPr>
              <w:spacing w:after="20"/>
            </w:pPr>
            <w:r>
              <w:rPr>
                <w:sz w:val="17"/>
              </w:rPr>
              <w:t>Legally-defensible notice &amp; certificates</w:t>
            </w:r>
          </w:p>
        </w:tc>
        <w:tc>
          <w:tcPr>
            <w:tcW w:type="dxa" w:w="3168"/>
            <w:shd w:val="clear" w:color="auto" w:fill="EAF1F6"/>
            <w:tcMar>
              <w:top w:w="60" w:type="dxa"/>
              <w:left w:w="110" w:type="dxa"/>
              <w:bottom w:w="60" w:type="dxa"/>
              <w:right w:w="110" w:type="dxa"/>
            </w:tcMar>
            <w:vAlign w:val="top"/>
          </w:tcPr>
          <w:p>
            <w:pPr>
              <w:spacing w:after="20"/>
            </w:pPr>
            <w:r>
              <w:rPr>
                <w:sz w:val="17"/>
              </w:rPr>
              <w:t>service_attempts, service_certificates / notice-svc</w:t>
            </w:r>
          </w:p>
        </w:tc>
      </w:tr>
      <w:tr>
        <w:tc>
          <w:tcPr>
            <w:tcW w:type="dxa" w:w="2736"/>
            <w:tcMar>
              <w:top w:w="60" w:type="dxa"/>
              <w:left w:w="110" w:type="dxa"/>
              <w:bottom w:w="60" w:type="dxa"/>
              <w:right w:w="110" w:type="dxa"/>
            </w:tcMar>
            <w:vAlign w:val="top"/>
          </w:tcPr>
          <w:p>
            <w:pPr>
              <w:spacing w:after="20"/>
            </w:pPr>
            <w:r>
              <w:rPr>
                <w:b/>
                <w:sz w:val="17"/>
              </w:rPr>
              <w:t>Ruleset Versioning &amp; case pinning</w:t>
            </w:r>
          </w:p>
        </w:tc>
        <w:tc>
          <w:tcPr>
            <w:tcW w:type="dxa" w:w="3456"/>
            <w:tcMar>
              <w:top w:w="60" w:type="dxa"/>
              <w:left w:w="110" w:type="dxa"/>
              <w:bottom w:w="60" w:type="dxa"/>
              <w:right w:w="110" w:type="dxa"/>
            </w:tcMar>
            <w:vAlign w:val="top"/>
          </w:tcPr>
          <w:p>
            <w:pPr>
              <w:spacing w:after="20"/>
            </w:pPr>
            <w:r>
              <w:rPr>
                <w:sz w:val="17"/>
              </w:rPr>
              <w:t>Reproducible behaviour per case</w:t>
            </w:r>
          </w:p>
        </w:tc>
        <w:tc>
          <w:tcPr>
            <w:tcW w:type="dxa" w:w="3168"/>
            <w:tcMar>
              <w:top w:w="60" w:type="dxa"/>
              <w:left w:w="110" w:type="dxa"/>
              <w:bottom w:w="60" w:type="dxa"/>
              <w:right w:w="110" w:type="dxa"/>
            </w:tcMar>
            <w:vAlign w:val="top"/>
          </w:tcPr>
          <w:p>
            <w:pPr>
              <w:spacing w:after="20"/>
            </w:pPr>
            <w:r>
              <w:rPr>
                <w:sz w:val="17"/>
              </w:rPr>
              <w:t>ruleset_versions / rules-svc</w:t>
            </w:r>
          </w:p>
        </w:tc>
      </w:tr>
      <w:tr>
        <w:tc>
          <w:tcPr>
            <w:tcW w:type="dxa" w:w="2736"/>
            <w:shd w:val="clear" w:color="auto" w:fill="EAF1F6"/>
            <w:tcMar>
              <w:top w:w="60" w:type="dxa"/>
              <w:left w:w="110" w:type="dxa"/>
              <w:bottom w:w="60" w:type="dxa"/>
              <w:right w:w="110" w:type="dxa"/>
            </w:tcMar>
            <w:vAlign w:val="top"/>
          </w:tcPr>
          <w:p>
            <w:pPr>
              <w:spacing w:after="20"/>
            </w:pPr>
            <w:r>
              <w:rPr>
                <w:b/>
                <w:sz w:val="17"/>
              </w:rPr>
              <w:t>Evidence Integrity</w:t>
            </w:r>
          </w:p>
        </w:tc>
        <w:tc>
          <w:tcPr>
            <w:tcW w:type="dxa" w:w="3456"/>
            <w:shd w:val="clear" w:color="auto" w:fill="EAF1F6"/>
            <w:tcMar>
              <w:top w:w="60" w:type="dxa"/>
              <w:left w:w="110" w:type="dxa"/>
              <w:bottom w:w="60" w:type="dxa"/>
              <w:right w:w="110" w:type="dxa"/>
            </w:tcMar>
            <w:vAlign w:val="top"/>
          </w:tcPr>
          <w:p>
            <w:pPr>
              <w:spacing w:after="20"/>
            </w:pPr>
            <w:r>
              <w:rPr>
                <w:sz w:val="17"/>
              </w:rPr>
              <w:t>Hash + chain of custody</w:t>
            </w:r>
          </w:p>
        </w:tc>
        <w:tc>
          <w:tcPr>
            <w:tcW w:type="dxa" w:w="3168"/>
            <w:shd w:val="clear" w:color="auto" w:fill="EAF1F6"/>
            <w:tcMar>
              <w:top w:w="60" w:type="dxa"/>
              <w:left w:w="110" w:type="dxa"/>
              <w:bottom w:w="60" w:type="dxa"/>
              <w:right w:w="110" w:type="dxa"/>
            </w:tcMar>
            <w:vAlign w:val="top"/>
          </w:tcPr>
          <w:p>
            <w:pPr>
              <w:spacing w:after="20"/>
            </w:pPr>
            <w:r>
              <w:rPr>
                <w:sz w:val="17"/>
              </w:rPr>
              <w:t>evidence_items, custody_log / evidence-svc</w:t>
            </w:r>
          </w:p>
        </w:tc>
      </w:tr>
      <w:tr>
        <w:tc>
          <w:tcPr>
            <w:tcW w:type="dxa" w:w="2736"/>
            <w:tcMar>
              <w:top w:w="60" w:type="dxa"/>
              <w:left w:w="110" w:type="dxa"/>
              <w:bottom w:w="60" w:type="dxa"/>
              <w:right w:w="110" w:type="dxa"/>
            </w:tcMar>
            <w:vAlign w:val="top"/>
          </w:tcPr>
          <w:p>
            <w:pPr>
              <w:spacing w:after="20"/>
            </w:pPr>
            <w:r>
              <w:rPr>
                <w:b/>
                <w:sz w:val="17"/>
              </w:rPr>
              <w:t>Multi-party &amp; Consolidation</w:t>
            </w:r>
          </w:p>
        </w:tc>
        <w:tc>
          <w:tcPr>
            <w:tcW w:type="dxa" w:w="3456"/>
            <w:tcMar>
              <w:top w:w="60" w:type="dxa"/>
              <w:left w:w="110" w:type="dxa"/>
              <w:bottom w:w="60" w:type="dxa"/>
              <w:right w:w="110" w:type="dxa"/>
            </w:tcMar>
            <w:vAlign w:val="top"/>
          </w:tcPr>
          <w:p>
            <w:pPr>
              <w:spacing w:after="20"/>
            </w:pPr>
            <w:r>
              <w:rPr>
                <w:sz w:val="17"/>
              </w:rPr>
              <w:t>Group and relate cases</w:t>
            </w:r>
          </w:p>
        </w:tc>
        <w:tc>
          <w:tcPr>
            <w:tcW w:type="dxa" w:w="3168"/>
            <w:tcMar>
              <w:top w:w="60" w:type="dxa"/>
              <w:left w:w="110" w:type="dxa"/>
              <w:bottom w:w="60" w:type="dxa"/>
              <w:right w:w="110" w:type="dxa"/>
            </w:tcMar>
            <w:vAlign w:val="top"/>
          </w:tcPr>
          <w:p>
            <w:pPr>
              <w:spacing w:after="20"/>
            </w:pPr>
            <w:r>
              <w:rPr>
                <w:sz w:val="17"/>
              </w:rPr>
              <w:t>case_groups, case_relationships / case-svc</w:t>
            </w:r>
          </w:p>
        </w:tc>
      </w:tr>
      <w:tr>
        <w:tc>
          <w:tcPr>
            <w:tcW w:type="dxa" w:w="2736"/>
            <w:shd w:val="clear" w:color="auto" w:fill="EAF1F6"/>
            <w:tcMar>
              <w:top w:w="60" w:type="dxa"/>
              <w:left w:w="110" w:type="dxa"/>
              <w:bottom w:w="60" w:type="dxa"/>
              <w:right w:w="110" w:type="dxa"/>
            </w:tcMar>
            <w:vAlign w:val="top"/>
          </w:tcPr>
          <w:p>
            <w:pPr>
              <w:spacing w:after="20"/>
            </w:pPr>
            <w:r>
              <w:rPr>
                <w:b/>
                <w:sz w:val="17"/>
              </w:rPr>
              <w:t>Settlement-Payments &amp; Escrow</w:t>
            </w:r>
          </w:p>
        </w:tc>
        <w:tc>
          <w:tcPr>
            <w:tcW w:type="dxa" w:w="3456"/>
            <w:shd w:val="clear" w:color="auto" w:fill="EAF1F6"/>
            <w:tcMar>
              <w:top w:w="60" w:type="dxa"/>
              <w:left w:w="110" w:type="dxa"/>
              <w:bottom w:w="60" w:type="dxa"/>
              <w:right w:w="110" w:type="dxa"/>
            </w:tcMar>
            <w:vAlign w:val="top"/>
          </w:tcPr>
          <w:p>
            <w:pPr>
              <w:spacing w:after="20"/>
            </w:pPr>
            <w:r>
              <w:rPr>
                <w:sz w:val="17"/>
              </w:rPr>
              <w:t>Hold and release settlement funds</w:t>
            </w:r>
          </w:p>
        </w:tc>
        <w:tc>
          <w:tcPr>
            <w:tcW w:type="dxa" w:w="3168"/>
            <w:shd w:val="clear" w:color="auto" w:fill="EAF1F6"/>
            <w:tcMar>
              <w:top w:w="60" w:type="dxa"/>
              <w:left w:w="110" w:type="dxa"/>
              <w:bottom w:w="60" w:type="dxa"/>
              <w:right w:w="110" w:type="dxa"/>
            </w:tcMar>
            <w:vAlign w:val="top"/>
          </w:tcPr>
          <w:p>
            <w:pPr>
              <w:spacing w:after="20"/>
            </w:pPr>
            <w:r>
              <w:rPr>
                <w:sz w:val="17"/>
              </w:rPr>
              <w:t>settlement_payments, escrow_ledger / finance-svc</w:t>
            </w:r>
          </w:p>
        </w:tc>
      </w:tr>
      <w:tr>
        <w:tc>
          <w:tcPr>
            <w:tcW w:type="dxa" w:w="2736"/>
            <w:tcMar>
              <w:top w:w="60" w:type="dxa"/>
              <w:left w:w="110" w:type="dxa"/>
              <w:bottom w:w="60" w:type="dxa"/>
              <w:right w:w="110" w:type="dxa"/>
            </w:tcMar>
            <w:vAlign w:val="top"/>
          </w:tcPr>
          <w:p>
            <w:pPr>
              <w:spacing w:after="20"/>
            </w:pPr>
            <w:r>
              <w:rPr>
                <w:b/>
                <w:sz w:val="17"/>
              </w:rPr>
              <w:t>Legal-Clock Observability</w:t>
            </w:r>
          </w:p>
        </w:tc>
        <w:tc>
          <w:tcPr>
            <w:tcW w:type="dxa" w:w="3456"/>
            <w:tcMar>
              <w:top w:w="60" w:type="dxa"/>
              <w:left w:w="110" w:type="dxa"/>
              <w:bottom w:w="60" w:type="dxa"/>
              <w:right w:w="110" w:type="dxa"/>
            </w:tcMar>
            <w:vAlign w:val="top"/>
          </w:tcPr>
          <w:p>
            <w:pPr>
              <w:spacing w:after="20"/>
            </w:pPr>
            <w:r>
              <w:rPr>
                <w:sz w:val="17"/>
              </w:rPr>
              <w:t>Dashboard &amp; alert statutory clocks</w:t>
            </w:r>
          </w:p>
        </w:tc>
        <w:tc>
          <w:tcPr>
            <w:tcW w:type="dxa" w:w="3168"/>
            <w:tcMar>
              <w:top w:w="60" w:type="dxa"/>
              <w:left w:w="110" w:type="dxa"/>
              <w:bottom w:w="60" w:type="dxa"/>
              <w:right w:w="110" w:type="dxa"/>
            </w:tcMar>
            <w:vAlign w:val="top"/>
          </w:tcPr>
          <w:p>
            <w:pPr>
              <w:spacing w:after="20"/>
            </w:pPr>
            <w:r>
              <w:rPr>
                <w:sz w:val="17"/>
              </w:rPr>
              <w:t>compliance_clock (view) / analytics-svc</w:t>
            </w:r>
          </w:p>
        </w:tc>
      </w:tr>
      <w:tr>
        <w:tc>
          <w:tcPr>
            <w:tcW w:type="dxa" w:w="2736"/>
            <w:shd w:val="clear" w:color="auto" w:fill="EAF1F6"/>
            <w:tcMar>
              <w:top w:w="60" w:type="dxa"/>
              <w:left w:w="110" w:type="dxa"/>
              <w:bottom w:w="60" w:type="dxa"/>
              <w:right w:w="110" w:type="dxa"/>
            </w:tcMar>
            <w:vAlign w:val="top"/>
          </w:tcPr>
          <w:p>
            <w:pPr>
              <w:spacing w:after="20"/>
            </w:pPr>
            <w:r>
              <w:rPr>
                <w:b/>
                <w:sz w:val="17"/>
              </w:rPr>
              <w:t>Cross-border readiness</w:t>
            </w:r>
          </w:p>
        </w:tc>
        <w:tc>
          <w:tcPr>
            <w:tcW w:type="dxa" w:w="3456"/>
            <w:shd w:val="clear" w:color="auto" w:fill="EAF1F6"/>
            <w:tcMar>
              <w:top w:w="60" w:type="dxa"/>
              <w:left w:w="110" w:type="dxa"/>
              <w:bottom w:w="60" w:type="dxa"/>
              <w:right w:w="110" w:type="dxa"/>
            </w:tcMar>
            <w:vAlign w:val="top"/>
          </w:tcPr>
          <w:p>
            <w:pPr>
              <w:spacing w:after="20"/>
            </w:pPr>
            <w:r>
              <w:rPr>
                <w:sz w:val="17"/>
              </w:rPr>
              <w:t>Singapore/NY-Convention packaging</w:t>
            </w:r>
          </w:p>
        </w:tc>
        <w:tc>
          <w:tcPr>
            <w:tcW w:type="dxa" w:w="3168"/>
            <w:shd w:val="clear" w:color="auto" w:fill="EAF1F6"/>
            <w:tcMar>
              <w:top w:w="60" w:type="dxa"/>
              <w:left w:w="110" w:type="dxa"/>
              <w:bottom w:w="60" w:type="dxa"/>
              <w:right w:w="110" w:type="dxa"/>
            </w:tcMar>
            <w:vAlign w:val="top"/>
          </w:tcPr>
          <w:p>
            <w:pPr>
              <w:spacing w:after="20"/>
            </w:pPr>
            <w:r>
              <w:rPr>
                <w:sz w:val="17"/>
              </w:rPr>
              <w:t>cross_border_meta / case-svc</w:t>
            </w:r>
          </w:p>
        </w:tc>
      </w:tr>
      <w:tr>
        <w:tc>
          <w:tcPr>
            <w:tcW w:type="dxa" w:w="2736"/>
            <w:tcMar>
              <w:top w:w="60" w:type="dxa"/>
              <w:left w:w="110" w:type="dxa"/>
              <w:bottom w:w="60" w:type="dxa"/>
              <w:right w:w="110" w:type="dxa"/>
            </w:tcMar>
            <w:vAlign w:val="top"/>
          </w:tcPr>
          <w:p>
            <w:pPr>
              <w:spacing w:after="20"/>
            </w:pPr>
            <w:r>
              <w:rPr>
                <w:b/>
                <w:sz w:val="17"/>
              </w:rPr>
              <w:t>Interoperability adapters</w:t>
            </w:r>
          </w:p>
        </w:tc>
        <w:tc>
          <w:tcPr>
            <w:tcW w:type="dxa" w:w="3456"/>
            <w:tcMar>
              <w:top w:w="60" w:type="dxa"/>
              <w:left w:w="110" w:type="dxa"/>
              <w:bottom w:w="60" w:type="dxa"/>
              <w:right w:w="110" w:type="dxa"/>
            </w:tcMar>
            <w:vAlign w:val="top"/>
          </w:tcPr>
          <w:p>
            <w:pPr>
              <w:spacing w:after="20"/>
            </w:pPr>
            <w:r>
              <w:rPr>
                <w:sz w:val="17"/>
              </w:rPr>
              <w:t>e-Courts / CMS / RBI / SEBI / Samadhaan</w:t>
            </w:r>
          </w:p>
        </w:tc>
        <w:tc>
          <w:tcPr>
            <w:tcW w:type="dxa" w:w="3168"/>
            <w:tcMar>
              <w:top w:w="60" w:type="dxa"/>
              <w:left w:w="110" w:type="dxa"/>
              <w:bottom w:w="60" w:type="dxa"/>
              <w:right w:w="110" w:type="dxa"/>
            </w:tcMar>
            <w:vAlign w:val="top"/>
          </w:tcPr>
          <w:p>
            <w:pPr>
              <w:spacing w:after="20"/>
            </w:pPr>
            <w:r>
              <w:rPr>
                <w:sz w:val="17"/>
              </w:rPr>
              <w:t>interop_messages / enterprise-svc</w:t>
            </w:r>
          </w:p>
        </w:tc>
      </w:tr>
      <w:tr>
        <w:tc>
          <w:tcPr>
            <w:tcW w:type="dxa" w:w="2736"/>
            <w:shd w:val="clear" w:color="auto" w:fill="EAF1F6"/>
            <w:tcMar>
              <w:top w:w="60" w:type="dxa"/>
              <w:left w:w="110" w:type="dxa"/>
              <w:bottom w:w="60" w:type="dxa"/>
              <w:right w:w="110" w:type="dxa"/>
            </w:tcMar>
            <w:vAlign w:val="top"/>
          </w:tcPr>
          <w:p>
            <w:pPr>
              <w:spacing w:after="20"/>
            </w:pPr>
            <w:r>
              <w:rPr>
                <w:b/>
                <w:sz w:val="17"/>
              </w:rPr>
              <w:t>Fairness &amp; Quality telemetry</w:t>
            </w:r>
          </w:p>
        </w:tc>
        <w:tc>
          <w:tcPr>
            <w:tcW w:type="dxa" w:w="3456"/>
            <w:shd w:val="clear" w:color="auto" w:fill="EAF1F6"/>
            <w:tcMar>
              <w:top w:w="60" w:type="dxa"/>
              <w:left w:w="110" w:type="dxa"/>
              <w:bottom w:w="60" w:type="dxa"/>
              <w:right w:w="110" w:type="dxa"/>
            </w:tcMar>
            <w:vAlign w:val="top"/>
          </w:tcPr>
          <w:p>
            <w:pPr>
              <w:spacing w:after="20"/>
            </w:pPr>
            <w:r>
              <w:rPr>
                <w:sz w:val="17"/>
              </w:rPr>
              <w:t>Neutral scorecards, bias metrics</w:t>
            </w:r>
          </w:p>
        </w:tc>
        <w:tc>
          <w:tcPr>
            <w:tcW w:type="dxa" w:w="3168"/>
            <w:shd w:val="clear" w:color="auto" w:fill="EAF1F6"/>
            <w:tcMar>
              <w:top w:w="60" w:type="dxa"/>
              <w:left w:w="110" w:type="dxa"/>
              <w:bottom w:w="60" w:type="dxa"/>
              <w:right w:w="110" w:type="dxa"/>
            </w:tcMar>
            <w:vAlign w:val="top"/>
          </w:tcPr>
          <w:p>
            <w:pPr>
              <w:spacing w:after="20"/>
            </w:pPr>
            <w:r>
              <w:rPr>
                <w:sz w:val="17"/>
              </w:rPr>
              <w:t>quality_metrics, neutral_scorecards / analytics-svc</w:t>
            </w:r>
          </w:p>
        </w:tc>
      </w:tr>
      <w:tr>
        <w:tc>
          <w:tcPr>
            <w:tcW w:type="dxa" w:w="2736"/>
            <w:tcMar>
              <w:top w:w="60" w:type="dxa"/>
              <w:left w:w="110" w:type="dxa"/>
              <w:bottom w:w="60" w:type="dxa"/>
              <w:right w:w="110" w:type="dxa"/>
            </w:tcMar>
            <w:vAlign w:val="top"/>
          </w:tcPr>
          <w:p>
            <w:pPr>
              <w:spacing w:after="20"/>
            </w:pPr>
            <w:r>
              <w:rPr>
                <w:b/>
                <w:sz w:val="17"/>
              </w:rPr>
              <w:t>Document-AI</w:t>
            </w:r>
          </w:p>
        </w:tc>
        <w:tc>
          <w:tcPr>
            <w:tcW w:type="dxa" w:w="3456"/>
            <w:tcMar>
              <w:top w:w="60" w:type="dxa"/>
              <w:left w:w="110" w:type="dxa"/>
              <w:bottom w:w="60" w:type="dxa"/>
              <w:right w:w="110" w:type="dxa"/>
            </w:tcMar>
            <w:vAlign w:val="top"/>
          </w:tcPr>
          <w:p>
            <w:pPr>
              <w:spacing w:after="20"/>
            </w:pPr>
            <w:r>
              <w:rPr>
                <w:sz w:val="17"/>
              </w:rPr>
              <w:t>OCR, extraction, classification, tamper hints</w:t>
            </w:r>
          </w:p>
        </w:tc>
        <w:tc>
          <w:tcPr>
            <w:tcW w:type="dxa" w:w="3168"/>
            <w:tcMar>
              <w:top w:w="60" w:type="dxa"/>
              <w:left w:w="110" w:type="dxa"/>
              <w:bottom w:w="60" w:type="dxa"/>
              <w:right w:w="110" w:type="dxa"/>
            </w:tcMar>
            <w:vAlign w:val="top"/>
          </w:tcPr>
          <w:p>
            <w:pPr>
              <w:spacing w:after="20"/>
            </w:pPr>
            <w:r>
              <w:rPr>
                <w:sz w:val="17"/>
              </w:rPr>
              <w:t>document_ai_jobs, extracted_fields / evidence-svc</w:t>
            </w:r>
          </w:p>
        </w:tc>
      </w:tr>
      <w:tr>
        <w:tc>
          <w:tcPr>
            <w:tcW w:type="dxa" w:w="2736"/>
            <w:shd w:val="clear" w:color="auto" w:fill="EAF1F6"/>
            <w:tcMar>
              <w:top w:w="60" w:type="dxa"/>
              <w:left w:w="110" w:type="dxa"/>
              <w:bottom w:w="60" w:type="dxa"/>
              <w:right w:w="110" w:type="dxa"/>
            </w:tcMar>
            <w:vAlign w:val="top"/>
          </w:tcPr>
          <w:p>
            <w:pPr>
              <w:spacing w:after="20"/>
            </w:pPr>
            <w:r>
              <w:rPr>
                <w:b/>
                <w:sz w:val="17"/>
              </w:rPr>
              <w:t>Named sector rulebooks</w:t>
            </w:r>
          </w:p>
        </w:tc>
        <w:tc>
          <w:tcPr>
            <w:tcW w:type="dxa" w:w="3456"/>
            <w:shd w:val="clear" w:color="auto" w:fill="EAF1F6"/>
            <w:tcMar>
              <w:top w:w="60" w:type="dxa"/>
              <w:left w:w="110" w:type="dxa"/>
              <w:bottom w:w="60" w:type="dxa"/>
              <w:right w:w="110" w:type="dxa"/>
            </w:tcMar>
            <w:vAlign w:val="top"/>
          </w:tcPr>
          <w:p>
            <w:pPr>
              <w:spacing w:after="20"/>
            </w:pPr>
            <w:r>
              <w:rPr>
                <w:sz w:val="17"/>
              </w:rPr>
              <w:t>NBFC, tenancy, employment, insurance, etc.</w:t>
            </w:r>
          </w:p>
        </w:tc>
        <w:tc>
          <w:tcPr>
            <w:tcW w:type="dxa" w:w="3168"/>
            <w:shd w:val="clear" w:color="auto" w:fill="EAF1F6"/>
            <w:tcMar>
              <w:top w:w="60" w:type="dxa"/>
              <w:left w:w="110" w:type="dxa"/>
              <w:bottom w:w="60" w:type="dxa"/>
              <w:right w:w="110" w:type="dxa"/>
            </w:tcMar>
            <w:vAlign w:val="top"/>
          </w:tcPr>
          <w:p>
            <w:pPr>
              <w:spacing w:after="20"/>
            </w:pPr>
            <w:r>
              <w:rPr>
                <w:sz w:val="17"/>
              </w:rPr>
              <w:t>sector_rulebooks / rules-svc</w:t>
            </w:r>
          </w:p>
        </w:tc>
      </w:tr>
      <w:tr>
        <w:tc>
          <w:tcPr>
            <w:tcW w:type="dxa" w:w="2736"/>
            <w:tcMar>
              <w:top w:w="60" w:type="dxa"/>
              <w:left w:w="110" w:type="dxa"/>
              <w:bottom w:w="60" w:type="dxa"/>
              <w:right w:w="110" w:type="dxa"/>
            </w:tcMar>
            <w:vAlign w:val="top"/>
          </w:tcPr>
          <w:p>
            <w:pPr>
              <w:spacing w:after="20"/>
            </w:pPr>
            <w:r>
              <w:rPr>
                <w:b/>
                <w:sz w:val="17"/>
              </w:rPr>
              <w:t>Transparent rate cards</w:t>
            </w:r>
          </w:p>
        </w:tc>
        <w:tc>
          <w:tcPr>
            <w:tcW w:type="dxa" w:w="3456"/>
            <w:tcMar>
              <w:top w:w="60" w:type="dxa"/>
              <w:left w:w="110" w:type="dxa"/>
              <w:bottom w:w="60" w:type="dxa"/>
              <w:right w:w="110" w:type="dxa"/>
            </w:tcMar>
            <w:vAlign w:val="top"/>
          </w:tcPr>
          <w:p>
            <w:pPr>
              <w:spacing w:after="20"/>
            </w:pPr>
            <w:r>
              <w:rPr>
                <w:sz w:val="17"/>
              </w:rPr>
              <w:t>Published, versioned pricing</w:t>
            </w:r>
          </w:p>
        </w:tc>
        <w:tc>
          <w:tcPr>
            <w:tcW w:type="dxa" w:w="3168"/>
            <w:tcMar>
              <w:top w:w="60" w:type="dxa"/>
              <w:left w:w="110" w:type="dxa"/>
              <w:bottom w:w="60" w:type="dxa"/>
              <w:right w:w="110" w:type="dxa"/>
            </w:tcMar>
            <w:vAlign w:val="top"/>
          </w:tcPr>
          <w:p>
            <w:pPr>
              <w:spacing w:after="20"/>
            </w:pPr>
            <w:r>
              <w:rPr>
                <w:sz w:val="17"/>
              </w:rPr>
              <w:t>rate_cards, rate_card_items / finance-svc</w:t>
            </w:r>
          </w:p>
        </w:tc>
      </w:tr>
      <w:tr>
        <w:tc>
          <w:tcPr>
            <w:tcW w:type="dxa" w:w="2736"/>
            <w:shd w:val="clear" w:color="auto" w:fill="EAF1F6"/>
            <w:tcMar>
              <w:top w:w="60" w:type="dxa"/>
              <w:left w:w="110" w:type="dxa"/>
              <w:bottom w:w="60" w:type="dxa"/>
              <w:right w:w="110" w:type="dxa"/>
            </w:tcMar>
            <w:vAlign w:val="top"/>
          </w:tcPr>
          <w:p>
            <w:pPr>
              <w:spacing w:after="20"/>
            </w:pPr>
            <w:r>
              <w:rPr>
                <w:b/>
                <w:sz w:val="17"/>
              </w:rPr>
              <w:t>AI-facilitated settlement</w:t>
            </w:r>
          </w:p>
        </w:tc>
        <w:tc>
          <w:tcPr>
            <w:tcW w:type="dxa" w:w="3456"/>
            <w:shd w:val="clear" w:color="auto" w:fill="EAF1F6"/>
            <w:tcMar>
              <w:top w:w="60" w:type="dxa"/>
              <w:left w:w="110" w:type="dxa"/>
              <w:bottom w:w="60" w:type="dxa"/>
              <w:right w:w="110" w:type="dxa"/>
            </w:tcMar>
            <w:vAlign w:val="top"/>
          </w:tcPr>
          <w:p>
            <w:pPr>
              <w:spacing w:after="20"/>
            </w:pPr>
            <w:r>
              <w:rPr>
                <w:sz w:val="17"/>
              </w:rPr>
              <w:t>Range/blind-bid negotiation aids</w:t>
            </w:r>
          </w:p>
        </w:tc>
        <w:tc>
          <w:tcPr>
            <w:tcW w:type="dxa" w:w="3168"/>
            <w:shd w:val="clear" w:color="auto" w:fill="EAF1F6"/>
            <w:tcMar>
              <w:top w:w="60" w:type="dxa"/>
              <w:left w:w="110" w:type="dxa"/>
              <w:bottom w:w="60" w:type="dxa"/>
              <w:right w:w="110" w:type="dxa"/>
            </w:tcMar>
            <w:vAlign w:val="top"/>
          </w:tcPr>
          <w:p>
            <w:pPr>
              <w:spacing w:after="20"/>
            </w:pPr>
            <w:r>
              <w:rPr>
                <w:sz w:val="17"/>
              </w:rPr>
              <w:t>settlement_negotiations, settlement_bids / odr-svc</w:t>
            </w:r>
          </w:p>
        </w:tc>
      </w:tr>
      <w:tr>
        <w:tc>
          <w:tcPr>
            <w:tcW w:type="dxa" w:w="2736"/>
            <w:tcMar>
              <w:top w:w="60" w:type="dxa"/>
              <w:left w:w="110" w:type="dxa"/>
              <w:bottom w:w="60" w:type="dxa"/>
              <w:right w:w="110" w:type="dxa"/>
            </w:tcMar>
            <w:vAlign w:val="top"/>
          </w:tcPr>
          <w:p>
            <w:pPr>
              <w:spacing w:after="20"/>
            </w:pPr>
            <w:r>
              <w:rPr>
                <w:b/>
                <w:sz w:val="17"/>
              </w:rPr>
              <w:t>Dispute Explorer</w:t>
            </w:r>
          </w:p>
        </w:tc>
        <w:tc>
          <w:tcPr>
            <w:tcW w:type="dxa" w:w="3456"/>
            <w:tcMar>
              <w:top w:w="60" w:type="dxa"/>
              <w:left w:w="110" w:type="dxa"/>
              <w:bottom w:w="60" w:type="dxa"/>
              <w:right w:w="110" w:type="dxa"/>
            </w:tcMar>
            <w:vAlign w:val="top"/>
          </w:tcPr>
          <w:p>
            <w:pPr>
              <w:spacing w:after="20"/>
            </w:pPr>
            <w:r>
              <w:rPr>
                <w:sz w:val="17"/>
              </w:rPr>
              <w:t>Pre-litigation viability (Claude API)</w:t>
            </w:r>
          </w:p>
        </w:tc>
        <w:tc>
          <w:tcPr>
            <w:tcW w:type="dxa" w:w="3168"/>
            <w:tcMar>
              <w:top w:w="60" w:type="dxa"/>
              <w:left w:w="110" w:type="dxa"/>
              <w:bottom w:w="60" w:type="dxa"/>
              <w:right w:w="110" w:type="dxa"/>
            </w:tcMar>
            <w:vAlign w:val="top"/>
          </w:tcPr>
          <w:p>
            <w:pPr>
              <w:spacing w:after="20"/>
            </w:pPr>
            <w:r>
              <w:rPr>
                <w:sz w:val="17"/>
              </w:rPr>
              <w:t>explorer_sessions / explorer-svc</w:t>
            </w:r>
          </w:p>
        </w:tc>
      </w:tr>
      <w:tr>
        <w:tc>
          <w:tcPr>
            <w:tcW w:type="dxa" w:w="2736"/>
            <w:shd w:val="clear" w:color="auto" w:fill="EAF1F6"/>
            <w:tcMar>
              <w:top w:w="60" w:type="dxa"/>
              <w:left w:w="110" w:type="dxa"/>
              <w:bottom w:w="60" w:type="dxa"/>
              <w:right w:w="110" w:type="dxa"/>
            </w:tcMar>
            <w:vAlign w:val="top"/>
          </w:tcPr>
          <w:p>
            <w:pPr>
              <w:spacing w:after="20"/>
            </w:pPr>
            <w:r>
              <w:rPr>
                <w:b/>
                <w:sz w:val="17"/>
              </w:rPr>
              <w:t>Lok Adalat / government channel (optional)</w:t>
            </w:r>
          </w:p>
        </w:tc>
        <w:tc>
          <w:tcPr>
            <w:tcW w:type="dxa" w:w="3456"/>
            <w:shd w:val="clear" w:color="auto" w:fill="EAF1F6"/>
            <w:tcMar>
              <w:top w:w="60" w:type="dxa"/>
              <w:left w:w="110" w:type="dxa"/>
              <w:bottom w:w="60" w:type="dxa"/>
              <w:right w:w="110" w:type="dxa"/>
            </w:tcMar>
            <w:vAlign w:val="top"/>
          </w:tcPr>
          <w:p>
            <w:pPr>
              <w:spacing w:after="20"/>
            </w:pPr>
            <w:r>
              <w:rPr>
                <w:sz w:val="17"/>
              </w:rPr>
              <w:t>Bulk settlement events</w:t>
            </w:r>
          </w:p>
        </w:tc>
        <w:tc>
          <w:tcPr>
            <w:tcW w:type="dxa" w:w="3168"/>
            <w:shd w:val="clear" w:color="auto" w:fill="EAF1F6"/>
            <w:tcMar>
              <w:top w:w="60" w:type="dxa"/>
              <w:left w:w="110" w:type="dxa"/>
              <w:bottom w:w="60" w:type="dxa"/>
              <w:right w:w="110" w:type="dxa"/>
            </w:tcMar>
            <w:vAlign w:val="top"/>
          </w:tcPr>
          <w:p>
            <w:pPr>
              <w:spacing w:after="20"/>
            </w:pPr>
            <w:r>
              <w:rPr>
                <w:sz w:val="17"/>
              </w:rPr>
              <w:t>lok_adalat_events / enterprise-svc</w:t>
            </w:r>
          </w:p>
        </w:tc>
      </w:tr>
    </w:tbl>
    <w:p>
      <w:pPr>
        <w:spacing w:after="40"/>
      </w:pPr>
    </w:p>
    <w:p>
      <w:pPr>
        <w:pStyle w:val="Heading1"/>
      </w:pPr>
      <w:r>
        <w:t>19. Appendices</w:t>
      </w:r>
    </w:p>
    <w:p>
      <w:pPr>
        <w:pStyle w:val="Heading2"/>
      </w:pPr>
      <w:r>
        <w:t>19.1 Glossary (selected)</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2304"/>
            <w:shd w:val="clear" w:color="auto" w:fill="0B2E4F"/>
            <w:tcMar>
              <w:top w:w="60" w:type="dxa"/>
              <w:left w:w="110" w:type="dxa"/>
              <w:bottom w:w="60" w:type="dxa"/>
              <w:right w:w="110" w:type="dxa"/>
            </w:tcMar>
            <w:vAlign w:val="center"/>
          </w:tcPr>
          <w:p>
            <w:pPr>
              <w:spacing w:after="20"/>
            </w:pPr>
            <w:r>
              <w:rPr>
                <w:b/>
                <w:color w:val="FFFFFF"/>
                <w:sz w:val="18"/>
              </w:rPr>
              <w:t>Term</w:t>
            </w:r>
          </w:p>
        </w:tc>
        <w:tc>
          <w:tcPr>
            <w:tcW w:type="dxa" w:w="7056"/>
            <w:shd w:val="clear" w:color="auto" w:fill="0B2E4F"/>
            <w:tcMar>
              <w:top w:w="60" w:type="dxa"/>
              <w:left w:w="110" w:type="dxa"/>
              <w:bottom w:w="60" w:type="dxa"/>
              <w:right w:w="110" w:type="dxa"/>
            </w:tcMar>
            <w:vAlign w:val="center"/>
          </w:tcPr>
          <w:p>
            <w:pPr>
              <w:spacing w:after="20"/>
            </w:pPr>
            <w:r>
              <w:rPr>
                <w:b/>
                <w:color w:val="FFFFFF"/>
                <w:sz w:val="18"/>
              </w:rPr>
              <w:t>Meaning</w:t>
            </w:r>
          </w:p>
        </w:tc>
      </w:tr>
      <w:tr>
        <w:tc>
          <w:tcPr>
            <w:tcW w:type="dxa" w:w="2304"/>
            <w:tcMar>
              <w:top w:w="60" w:type="dxa"/>
              <w:left w:w="110" w:type="dxa"/>
              <w:bottom w:w="60" w:type="dxa"/>
              <w:right w:w="110" w:type="dxa"/>
            </w:tcMar>
            <w:vAlign w:val="top"/>
          </w:tcPr>
          <w:p>
            <w:pPr>
              <w:spacing w:after="20"/>
            </w:pPr>
            <w:r>
              <w:rPr>
                <w:b/>
                <w:sz w:val="18"/>
              </w:rPr>
              <w:t>EDRS</w:t>
            </w:r>
          </w:p>
        </w:tc>
        <w:tc>
          <w:tcPr>
            <w:tcW w:type="dxa" w:w="7056"/>
            <w:tcMar>
              <w:top w:w="60" w:type="dxa"/>
              <w:left w:w="110" w:type="dxa"/>
              <w:bottom w:w="60" w:type="dxa"/>
              <w:right w:w="110" w:type="dxa"/>
            </w:tcMar>
            <w:vAlign w:val="top"/>
          </w:tcPr>
          <w:p>
            <w:pPr>
              <w:spacing w:after="20"/>
            </w:pPr>
            <w:r>
              <w:rPr>
                <w:sz w:val="18"/>
              </w:rPr>
              <w:t>Equator Dispute Resolution Service — the first-party managed institution.</w:t>
            </w:r>
          </w:p>
        </w:tc>
      </w:tr>
      <w:tr>
        <w:tc>
          <w:tcPr>
            <w:tcW w:type="dxa" w:w="2304"/>
            <w:shd w:val="clear" w:color="auto" w:fill="EAF1F6"/>
            <w:tcMar>
              <w:top w:w="60" w:type="dxa"/>
              <w:left w:w="110" w:type="dxa"/>
              <w:bottom w:w="60" w:type="dxa"/>
              <w:right w:w="110" w:type="dxa"/>
            </w:tcMar>
            <w:vAlign w:val="top"/>
          </w:tcPr>
          <w:p>
            <w:pPr>
              <w:spacing w:after="20"/>
            </w:pPr>
            <w:r>
              <w:rPr>
                <w:b/>
                <w:sz w:val="18"/>
              </w:rPr>
              <w:t>ODR</w:t>
            </w:r>
          </w:p>
        </w:tc>
        <w:tc>
          <w:tcPr>
            <w:tcW w:type="dxa" w:w="7056"/>
            <w:shd w:val="clear" w:color="auto" w:fill="EAF1F6"/>
            <w:tcMar>
              <w:top w:w="60" w:type="dxa"/>
              <w:left w:w="110" w:type="dxa"/>
              <w:bottom w:w="60" w:type="dxa"/>
              <w:right w:w="110" w:type="dxa"/>
            </w:tcMar>
            <w:vAlign w:val="top"/>
          </w:tcPr>
          <w:p>
            <w:pPr>
              <w:spacing w:after="20"/>
            </w:pPr>
            <w:r>
              <w:rPr>
                <w:sz w:val="18"/>
              </w:rPr>
              <w:t>Online Dispute Resolution — resolving disputes via digital negotiation/mediation/conciliation/arbitration.</w:t>
            </w:r>
          </w:p>
        </w:tc>
      </w:tr>
      <w:tr>
        <w:tc>
          <w:tcPr>
            <w:tcW w:type="dxa" w:w="2304"/>
            <w:tcMar>
              <w:top w:w="60" w:type="dxa"/>
              <w:left w:w="110" w:type="dxa"/>
              <w:bottom w:w="60" w:type="dxa"/>
              <w:right w:w="110" w:type="dxa"/>
            </w:tcMar>
            <w:vAlign w:val="top"/>
          </w:tcPr>
          <w:p>
            <w:pPr>
              <w:spacing w:after="20"/>
            </w:pPr>
            <w:r>
              <w:rPr>
                <w:b/>
                <w:sz w:val="18"/>
              </w:rPr>
              <w:t>MSA</w:t>
            </w:r>
          </w:p>
        </w:tc>
        <w:tc>
          <w:tcPr>
            <w:tcW w:type="dxa" w:w="7056"/>
            <w:tcMar>
              <w:top w:w="60" w:type="dxa"/>
              <w:left w:w="110" w:type="dxa"/>
              <w:bottom w:w="60" w:type="dxa"/>
              <w:right w:w="110" w:type="dxa"/>
            </w:tcMar>
            <w:vAlign w:val="top"/>
          </w:tcPr>
          <w:p>
            <w:pPr>
              <w:spacing w:after="20"/>
            </w:pPr>
            <w:r>
              <w:rPr>
                <w:sz w:val="18"/>
              </w:rPr>
              <w:t>Mediated Settlement Agreement — enforceable under S.27, Mediation Act 2023.</w:t>
            </w:r>
          </w:p>
        </w:tc>
      </w:tr>
      <w:tr>
        <w:tc>
          <w:tcPr>
            <w:tcW w:type="dxa" w:w="2304"/>
            <w:shd w:val="clear" w:color="auto" w:fill="EAF1F6"/>
            <w:tcMar>
              <w:top w:w="60" w:type="dxa"/>
              <w:left w:w="110" w:type="dxa"/>
              <w:bottom w:w="60" w:type="dxa"/>
              <w:right w:w="110" w:type="dxa"/>
            </w:tcMar>
            <w:vAlign w:val="top"/>
          </w:tcPr>
          <w:p>
            <w:pPr>
              <w:spacing w:after="20"/>
            </w:pPr>
            <w:r>
              <w:rPr>
                <w:b/>
                <w:sz w:val="18"/>
              </w:rPr>
              <w:t>Private ADR Court</w:t>
            </w:r>
          </w:p>
        </w:tc>
        <w:tc>
          <w:tcPr>
            <w:tcW w:type="dxa" w:w="7056"/>
            <w:shd w:val="clear" w:color="auto" w:fill="EAF1F6"/>
            <w:tcMar>
              <w:top w:w="60" w:type="dxa"/>
              <w:left w:w="110" w:type="dxa"/>
              <w:bottom w:w="60" w:type="dxa"/>
              <w:right w:w="110" w:type="dxa"/>
            </w:tcMar>
            <w:vAlign w:val="top"/>
          </w:tcPr>
          <w:p>
            <w:pPr>
              <w:spacing w:after="20"/>
            </w:pPr>
            <w:r>
              <w:rPr>
                <w:sz w:val="18"/>
              </w:rPr>
              <w:t>Neutral/institution tenant running an independent branded caseload on shared rails.</w:t>
            </w:r>
          </w:p>
        </w:tc>
      </w:tr>
      <w:tr>
        <w:tc>
          <w:tcPr>
            <w:tcW w:type="dxa" w:w="2304"/>
            <w:tcMar>
              <w:top w:w="60" w:type="dxa"/>
              <w:left w:w="110" w:type="dxa"/>
              <w:bottom w:w="60" w:type="dxa"/>
              <w:right w:w="110" w:type="dxa"/>
            </w:tcMar>
            <w:vAlign w:val="top"/>
          </w:tcPr>
          <w:p>
            <w:pPr>
              <w:spacing w:after="20"/>
            </w:pPr>
            <w:r>
              <w:rPr>
                <w:b/>
                <w:sz w:val="18"/>
              </w:rPr>
              <w:t>Dispute Explorer</w:t>
            </w:r>
          </w:p>
        </w:tc>
        <w:tc>
          <w:tcPr>
            <w:tcW w:type="dxa" w:w="7056"/>
            <w:tcMar>
              <w:top w:w="60" w:type="dxa"/>
              <w:left w:w="110" w:type="dxa"/>
              <w:bottom w:w="60" w:type="dxa"/>
              <w:right w:w="110" w:type="dxa"/>
            </w:tcMar>
            <w:vAlign w:val="top"/>
          </w:tcPr>
          <w:p>
            <w:pPr>
              <w:spacing w:after="20"/>
            </w:pPr>
            <w:r>
              <w:rPr>
                <w:sz w:val="18"/>
              </w:rPr>
              <w:t>AI-assisted pre-litigation viability/feasibility tool (Claude API).</w:t>
            </w:r>
          </w:p>
        </w:tc>
      </w:tr>
      <w:tr>
        <w:tc>
          <w:tcPr>
            <w:tcW w:type="dxa" w:w="2304"/>
            <w:shd w:val="clear" w:color="auto" w:fill="EAF1F6"/>
            <w:tcMar>
              <w:top w:w="60" w:type="dxa"/>
              <w:left w:w="110" w:type="dxa"/>
              <w:bottom w:w="60" w:type="dxa"/>
              <w:right w:w="110" w:type="dxa"/>
            </w:tcMar>
            <w:vAlign w:val="top"/>
          </w:tcPr>
          <w:p>
            <w:pPr>
              <w:spacing w:after="20"/>
            </w:pPr>
            <w:r>
              <w:rPr>
                <w:b/>
                <w:sz w:val="18"/>
              </w:rPr>
              <w:t>Section 29A</w:t>
            </w:r>
          </w:p>
        </w:tc>
        <w:tc>
          <w:tcPr>
            <w:tcW w:type="dxa" w:w="7056"/>
            <w:shd w:val="clear" w:color="auto" w:fill="EAF1F6"/>
            <w:tcMar>
              <w:top w:w="60" w:type="dxa"/>
              <w:left w:w="110" w:type="dxa"/>
              <w:bottom w:w="60" w:type="dxa"/>
              <w:right w:w="110" w:type="dxa"/>
            </w:tcMar>
            <w:vAlign w:val="top"/>
          </w:tcPr>
          <w:p>
            <w:pPr>
              <w:spacing w:after="20"/>
            </w:pPr>
            <w:r>
              <w:rPr>
                <w:sz w:val="18"/>
              </w:rPr>
              <w:t>A&amp;C Act provision setting time-limits for arbitral awards.</w:t>
            </w:r>
          </w:p>
        </w:tc>
      </w:tr>
      <w:tr>
        <w:tc>
          <w:tcPr>
            <w:tcW w:type="dxa" w:w="2304"/>
            <w:tcMar>
              <w:top w:w="60" w:type="dxa"/>
              <w:left w:w="110" w:type="dxa"/>
              <w:bottom w:w="60" w:type="dxa"/>
              <w:right w:w="110" w:type="dxa"/>
            </w:tcMar>
            <w:vAlign w:val="top"/>
          </w:tcPr>
          <w:p>
            <w:pPr>
              <w:spacing w:after="20"/>
            </w:pPr>
            <w:r>
              <w:rPr>
                <w:b/>
                <w:sz w:val="18"/>
              </w:rPr>
              <w:t>Section 36</w:t>
            </w:r>
          </w:p>
        </w:tc>
        <w:tc>
          <w:tcPr>
            <w:tcW w:type="dxa" w:w="7056"/>
            <w:tcMar>
              <w:top w:w="60" w:type="dxa"/>
              <w:left w:w="110" w:type="dxa"/>
              <w:bottom w:w="60" w:type="dxa"/>
              <w:right w:w="110" w:type="dxa"/>
            </w:tcMar>
            <w:vAlign w:val="top"/>
          </w:tcPr>
          <w:p>
            <w:pPr>
              <w:spacing w:after="20"/>
            </w:pPr>
            <w:r>
              <w:rPr>
                <w:sz w:val="18"/>
              </w:rPr>
              <w:t>A&amp;C Act provision for enforcement/execution of an arbitral award as a decree.</w:t>
            </w:r>
          </w:p>
        </w:tc>
      </w:tr>
      <w:tr>
        <w:tc>
          <w:tcPr>
            <w:tcW w:type="dxa" w:w="2304"/>
            <w:shd w:val="clear" w:color="auto" w:fill="EAF1F6"/>
            <w:tcMar>
              <w:top w:w="60" w:type="dxa"/>
              <w:left w:w="110" w:type="dxa"/>
              <w:bottom w:w="60" w:type="dxa"/>
              <w:right w:w="110" w:type="dxa"/>
            </w:tcMar>
            <w:vAlign w:val="top"/>
          </w:tcPr>
          <w:p>
            <w:pPr>
              <w:spacing w:after="20"/>
            </w:pPr>
            <w:r>
              <w:rPr>
                <w:b/>
                <w:sz w:val="18"/>
              </w:rPr>
              <w:t>Confidentiality tier</w:t>
            </w:r>
          </w:p>
        </w:tc>
        <w:tc>
          <w:tcPr>
            <w:tcW w:type="dxa" w:w="7056"/>
            <w:shd w:val="clear" w:color="auto" w:fill="EAF1F6"/>
            <w:tcMar>
              <w:top w:w="60" w:type="dxa"/>
              <w:left w:w="110" w:type="dxa"/>
              <w:bottom w:w="60" w:type="dxa"/>
              <w:right w:w="110" w:type="dxa"/>
            </w:tcMar>
            <w:vAlign w:val="top"/>
          </w:tcPr>
          <w:p>
            <w:pPr>
              <w:spacing w:after="20"/>
            </w:pPr>
            <w:r>
              <w:rPr>
                <w:sz w:val="18"/>
              </w:rPr>
              <w:t>Case attribute driving encryption, access and redaction.</w:t>
            </w:r>
          </w:p>
        </w:tc>
      </w:tr>
    </w:tbl>
    <w:p>
      <w:pPr>
        <w:spacing w:after="40"/>
      </w:pPr>
    </w:p>
    <w:p>
      <w:pPr>
        <w:pStyle w:val="Heading2"/>
      </w:pPr>
      <w:r>
        <w:t>19.2 Key sources</w:t>
      </w:r>
    </w:p>
    <w:p>
      <w:pPr>
        <w:spacing w:after="120"/>
      </w:pPr>
      <w:r>
        <w:rPr>
          <w:b w:val="0"/>
        </w:rPr>
        <w:t>Statutory and market sources are consolidated in EQR-04 (law) and EQR-13/EQR-14 (market &amp; compliance evidence). Time-sensitive figures should be re-verified before external use.</w:t>
      </w:r>
    </w:p>
    <w:p>
      <w:pPr>
        <w:spacing w:after="120"/>
      </w:pPr>
      <w:r>
        <w:rPr>
          <w:b w:val="0"/>
          <w:color w:val="5A6B7B"/>
          <w:sz w:val="18"/>
        </w:rPr>
        <w:t>End of EQR-01 v2.0.</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C9D3DC"/>
      </w:pBdr>
      <w:tabs>
        <w:tab w:pos="9360" w:val="right"/>
      </w:tabs>
    </w:pPr>
    <w:r/>
    <w:r>
      <w:rPr>
        <w:color w:val="5A6B7B"/>
        <w:sz w:val="16"/>
      </w:rPr>
      <w:t xml:space="preserve">Confidential — © 2026 Equator Resolution (Infrabyx Consultancy (OPC) Pvt. Ltd.)   </w:t>
    </w:r>
    <w:r>
      <w:rPr>
        <w:color w:val="5A6B7B"/>
        <w:sz w:val="16"/>
      </w:rPr>
      <w:tab/>
      <w:t xml:space="preserve">Page </w:t>
    </w:r>
    <w:r>
      <w:rPr>
        <w:color w:val="5A6B7B"/>
        <w:sz w:val="16"/>
      </w:rPr>
      <w:fldChar w:fldCharType="begin"/>
      <w:instrText xml:space="preserve">PAGE</w:instrText>
      <w:fldChar w:fldCharType="end"/>
    </w:r>
    <w:r>
      <w:rPr>
        <w:color w:val="5A6B7B"/>
        <w:sz w:val="16"/>
      </w:rPr>
      <w:t xml:space="preserve"> of </w:t>
    </w:r>
    <w:r>
      <w:rPr>
        <w:color w:val="5A6B7B"/>
        <w:sz w:val="16"/>
      </w:rP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6" w:color="C9D3DC"/>
      </w:pBdr>
      <w:jc w:val="left"/>
    </w:pPr>
    <w:r/>
    <w:r>
      <w:rPr>
        <w:rFonts w:ascii="Arial" w:hAnsi="Arial"/>
        <w:color w:val="5A6B7B"/>
        <w:sz w:val="16"/>
      </w:rPr>
      <w:t>EQUATOR RESOLUTION  ·  EQR-01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0B2E4F"/>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0B2E4F"/>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1F7A8C"/>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Arial" w:hAnsi="Arial"/>
      <w:b/>
      <w:bCs/>
      <w:i/>
      <w:iCs/>
      <w:color w:val="5A6B7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0B2E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