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B · ARCHITECTURE &amp; BUILD</w:t>
      </w:r>
    </w:p>
    <w:p>
      <w:pPr>
        <w:pStyle w:val="Title"/>
        <w:pBdr>
          <w:bottom w:val="single" w:sz="20" w:space="6" w:color="B98A2E"/>
        </w:pBdr>
      </w:pPr>
      <w:r>
        <w:t>ODR Engine &amp; Detailed Process Architecture</w:t>
      </w:r>
    </w:p>
    <w:p>
      <w:pPr>
        <w:spacing w:after="280"/>
      </w:pPr>
      <w:r>
        <w:rPr>
          <w:i/>
          <w:color w:val="5A6B7B"/>
          <w:sz w:val="25"/>
        </w:rPr>
        <w:t>How Equator Resolution runs a dispute end-to-end: the resolution ladder, the negotiation / conciliation / mediation / arbitration engines, hearings, evidence, notice, settlement, award, and the execution &amp; enforcement of outcomes.</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EQR-02</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ODR Engine &amp; Detailed Process Architecture</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Chief Architect / Head of ODR</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EQR-01 (master) · EQR-03 (modules) · EQR-04 (law &amp; enforcement) · EQR-05 (neutrals) · EQR-12 (forms/schema)</w:t>
            </w:r>
          </w:p>
        </w:tc>
      </w:tr>
      <w:tr>
        <w:tc>
          <w:tcPr>
            <w:tcW w:type="dxa" w:w="2880"/>
            <w:tcMar>
              <w:top w:w="60" w:type="dxa"/>
              <w:left w:w="110" w:type="dxa"/>
              <w:bottom w:w="60" w:type="dxa"/>
              <w:right w:w="110" w:type="dxa"/>
            </w:tcMar>
            <w:vAlign w:val="top"/>
          </w:tcPr>
          <w:p>
            <w:pPr>
              <w:spacing w:after="20"/>
            </w:pPr>
            <w:r>
              <w:rPr>
                <w:b/>
                <w:sz w:val="19"/>
              </w:rPr>
              <w:t>Caveat</w:t>
            </w:r>
          </w:p>
        </w:tc>
        <w:tc>
          <w:tcPr>
            <w:tcW w:type="dxa" w:w="6480"/>
            <w:tcMar>
              <w:top w:w="60" w:type="dxa"/>
              <w:left w:w="110" w:type="dxa"/>
              <w:bottom w:w="60" w:type="dxa"/>
              <w:right w:w="110" w:type="dxa"/>
            </w:tcMar>
            <w:vAlign w:val="top"/>
          </w:tcPr>
          <w:p>
            <w:pPr>
              <w:spacing w:after="20"/>
            </w:pPr>
            <w:r>
              <w:rPr>
                <w:sz w:val="19"/>
              </w:rPr>
              <w:t>Describes platform behaviour; not legal advice for any specific matter.</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 &amp; Scope</w:t>
      </w:r>
    </w:p>
    <w:p>
      <w:pPr>
        <w:spacing w:after="120"/>
      </w:pPr>
      <w:r>
        <w:rPr>
          <w:b w:val="0"/>
        </w:rPr>
        <w:t>This document specifies the ODR engine — the part of the platform that actually resolves disputes. Where EQR-01 gives the system-wide architecture and EQR-03 gives the per-dispute journeys, this document specifies the reusable resolution machinery those journeys run on: the ladder of methods, each method's engine, the hearing/evidence/notice services that support them, and — critically — how a settlement or award is turned into an enforceable, executed outcome.</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Design rule.  </w:t>
            </w:r>
            <w:r>
              <w:rPr>
                <w:color w:val="1A1A1A"/>
                <w:sz w:val="19"/>
              </w:rPr>
              <w:t>There is one engine, not four. Negotiation, conciliation, mediation and arbitration are configurations of a common proceedings engine (roles, sessions, documents, orders, outcomes), differentiated by ruleset, confidentiality, who decides, and how the outcome is enforced. This is what lets one platform serve every dispute pillar.</w:t>
            </w:r>
          </w:p>
        </w:tc>
      </w:tr>
    </w:tbl>
    <w:p>
      <w:pPr>
        <w:spacing w:after="40"/>
      </w:pPr>
    </w:p>
    <w:p>
      <w:pPr>
        <w:pStyle w:val="Heading1"/>
      </w:pPr>
      <w:r>
        <w:t>2. The Resolution Ladder</w:t>
      </w:r>
    </w:p>
    <w:p>
      <w:pPr>
        <w:spacing w:after="120"/>
      </w:pPr>
      <w:r>
        <w:rPr>
          <w:b w:val="0"/>
        </w:rPr>
        <w:t>Equator implements the staged ladder that has become the Indian ODR norm (seen in SEBI SMART-ODR and lending): parties climb only as far as they need to. Each rung is a configurable stage in the case state machine (EQR-01 §6.4); a matter can enter at any rung its ruleset allows and can settle at any rung.</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720"/>
            <w:shd w:val="clear" w:color="auto" w:fill="0B2E4F"/>
            <w:tcMar>
              <w:top w:w="60" w:type="dxa"/>
              <w:left w:w="110" w:type="dxa"/>
              <w:bottom w:w="60" w:type="dxa"/>
              <w:right w:w="110" w:type="dxa"/>
            </w:tcMar>
            <w:vAlign w:val="center"/>
          </w:tcPr>
          <w:p>
            <w:pPr>
              <w:spacing w:after="20"/>
            </w:pPr>
            <w:r>
              <w:rPr>
                <w:b/>
                <w:color w:val="FFFFFF"/>
                <w:sz w:val="17"/>
              </w:rPr>
              <w:t>Rung</w:t>
            </w:r>
          </w:p>
        </w:tc>
        <w:tc>
          <w:tcPr>
            <w:tcW w:type="dxa" w:w="2880"/>
            <w:shd w:val="clear" w:color="auto" w:fill="0B2E4F"/>
            <w:tcMar>
              <w:top w:w="60" w:type="dxa"/>
              <w:left w:w="110" w:type="dxa"/>
              <w:bottom w:w="60" w:type="dxa"/>
              <w:right w:w="110" w:type="dxa"/>
            </w:tcMar>
            <w:vAlign w:val="center"/>
          </w:tcPr>
          <w:p>
            <w:pPr>
              <w:spacing w:after="20"/>
            </w:pPr>
            <w:r>
              <w:rPr>
                <w:b/>
                <w:color w:val="FFFFFF"/>
                <w:sz w:val="17"/>
              </w:rPr>
              <w:t>Method</w:t>
            </w:r>
          </w:p>
        </w:tc>
        <w:tc>
          <w:tcPr>
            <w:tcW w:type="dxa" w:w="2160"/>
            <w:shd w:val="clear" w:color="auto" w:fill="0B2E4F"/>
            <w:tcMar>
              <w:top w:w="60" w:type="dxa"/>
              <w:left w:w="110" w:type="dxa"/>
              <w:bottom w:w="60" w:type="dxa"/>
              <w:right w:w="110" w:type="dxa"/>
            </w:tcMar>
            <w:vAlign w:val="center"/>
          </w:tcPr>
          <w:p>
            <w:pPr>
              <w:spacing w:after="20"/>
            </w:pPr>
            <w:r>
              <w:rPr>
                <w:b/>
                <w:color w:val="FFFFFF"/>
                <w:sz w:val="17"/>
              </w:rPr>
              <w:t>Who decides</w:t>
            </w:r>
          </w:p>
        </w:tc>
        <w:tc>
          <w:tcPr>
            <w:tcW w:type="dxa" w:w="1872"/>
            <w:shd w:val="clear" w:color="auto" w:fill="0B2E4F"/>
            <w:tcMar>
              <w:top w:w="60" w:type="dxa"/>
              <w:left w:w="110" w:type="dxa"/>
              <w:bottom w:w="60" w:type="dxa"/>
              <w:right w:w="110" w:type="dxa"/>
            </w:tcMar>
            <w:vAlign w:val="center"/>
          </w:tcPr>
          <w:p>
            <w:pPr>
              <w:spacing w:after="20"/>
            </w:pPr>
            <w:r>
              <w:rPr>
                <w:b/>
                <w:color w:val="FFFFFF"/>
                <w:sz w:val="17"/>
              </w:rPr>
              <w:t>Typical outcome</w:t>
            </w:r>
          </w:p>
        </w:tc>
        <w:tc>
          <w:tcPr>
            <w:tcW w:type="dxa" w:w="1728"/>
            <w:shd w:val="clear" w:color="auto" w:fill="0B2E4F"/>
            <w:tcMar>
              <w:top w:w="60" w:type="dxa"/>
              <w:left w:w="110" w:type="dxa"/>
              <w:bottom w:w="60" w:type="dxa"/>
              <w:right w:w="110" w:type="dxa"/>
            </w:tcMar>
            <w:vAlign w:val="center"/>
          </w:tcPr>
          <w:p>
            <w:pPr>
              <w:spacing w:after="20"/>
            </w:pPr>
            <w:r>
              <w:rPr>
                <w:b/>
                <w:color w:val="FFFFFF"/>
                <w:sz w:val="17"/>
              </w:rPr>
              <w:t>Enforcement basis</w:t>
            </w:r>
          </w:p>
        </w:tc>
      </w:tr>
      <w:tr>
        <w:tc>
          <w:tcPr>
            <w:tcW w:type="dxa" w:w="720"/>
            <w:tcMar>
              <w:top w:w="60" w:type="dxa"/>
              <w:left w:w="110" w:type="dxa"/>
              <w:bottom w:w="60" w:type="dxa"/>
              <w:right w:w="110" w:type="dxa"/>
            </w:tcMar>
            <w:vAlign w:val="top"/>
          </w:tcPr>
          <w:p>
            <w:pPr>
              <w:spacing w:after="20"/>
            </w:pPr>
            <w:r>
              <w:rPr>
                <w:b/>
                <w:sz w:val="17"/>
              </w:rPr>
              <w:t>1</w:t>
            </w:r>
          </w:p>
        </w:tc>
        <w:tc>
          <w:tcPr>
            <w:tcW w:type="dxa" w:w="2880"/>
            <w:tcMar>
              <w:top w:w="60" w:type="dxa"/>
              <w:left w:w="110" w:type="dxa"/>
              <w:bottom w:w="60" w:type="dxa"/>
              <w:right w:w="110" w:type="dxa"/>
            </w:tcMar>
            <w:vAlign w:val="top"/>
          </w:tcPr>
          <w:p>
            <w:pPr>
              <w:spacing w:after="20"/>
            </w:pPr>
            <w:r>
              <w:rPr>
                <w:sz w:val="17"/>
              </w:rPr>
              <w:t>Direct negotiation (assisted / AI-facilitated)</w:t>
            </w:r>
          </w:p>
        </w:tc>
        <w:tc>
          <w:tcPr>
            <w:tcW w:type="dxa" w:w="2160"/>
            <w:tcMar>
              <w:top w:w="60" w:type="dxa"/>
              <w:left w:w="110" w:type="dxa"/>
              <w:bottom w:w="60" w:type="dxa"/>
              <w:right w:w="110" w:type="dxa"/>
            </w:tcMar>
            <w:vAlign w:val="top"/>
          </w:tcPr>
          <w:p>
            <w:pPr>
              <w:spacing w:after="20"/>
            </w:pPr>
            <w:r>
              <w:rPr>
                <w:sz w:val="17"/>
              </w:rPr>
              <w:t>The parties</w:t>
            </w:r>
          </w:p>
        </w:tc>
        <w:tc>
          <w:tcPr>
            <w:tcW w:type="dxa" w:w="1872"/>
            <w:tcMar>
              <w:top w:w="60" w:type="dxa"/>
              <w:left w:w="110" w:type="dxa"/>
              <w:bottom w:w="60" w:type="dxa"/>
              <w:right w:w="110" w:type="dxa"/>
            </w:tcMar>
            <w:vAlign w:val="top"/>
          </w:tcPr>
          <w:p>
            <w:pPr>
              <w:spacing w:after="20"/>
            </w:pPr>
            <w:r>
              <w:rPr>
                <w:sz w:val="17"/>
              </w:rPr>
              <w:t>Agreed terms</w:t>
            </w:r>
          </w:p>
        </w:tc>
        <w:tc>
          <w:tcPr>
            <w:tcW w:type="dxa" w:w="1728"/>
            <w:tcMar>
              <w:top w:w="60" w:type="dxa"/>
              <w:left w:w="110" w:type="dxa"/>
              <w:bottom w:w="60" w:type="dxa"/>
              <w:right w:w="110" w:type="dxa"/>
            </w:tcMar>
            <w:vAlign w:val="top"/>
          </w:tcPr>
          <w:p>
            <w:pPr>
              <w:spacing w:after="20"/>
            </w:pPr>
            <w:r>
              <w:rPr>
                <w:sz w:val="17"/>
              </w:rPr>
              <w:t>Contract; optionally recorded as settlement</w:t>
            </w:r>
          </w:p>
        </w:tc>
      </w:tr>
      <w:tr>
        <w:tc>
          <w:tcPr>
            <w:tcW w:type="dxa" w:w="720"/>
            <w:shd w:val="clear" w:color="auto" w:fill="EAF1F6"/>
            <w:tcMar>
              <w:top w:w="60" w:type="dxa"/>
              <w:left w:w="110" w:type="dxa"/>
              <w:bottom w:w="60" w:type="dxa"/>
              <w:right w:w="110" w:type="dxa"/>
            </w:tcMar>
            <w:vAlign w:val="top"/>
          </w:tcPr>
          <w:p>
            <w:pPr>
              <w:spacing w:after="20"/>
            </w:pPr>
            <w:r>
              <w:rPr>
                <w:b/>
                <w:sz w:val="17"/>
              </w:rPr>
              <w:t>2</w:t>
            </w:r>
          </w:p>
        </w:tc>
        <w:tc>
          <w:tcPr>
            <w:tcW w:type="dxa" w:w="2880"/>
            <w:shd w:val="clear" w:color="auto" w:fill="EAF1F6"/>
            <w:tcMar>
              <w:top w:w="60" w:type="dxa"/>
              <w:left w:w="110" w:type="dxa"/>
              <w:bottom w:w="60" w:type="dxa"/>
              <w:right w:w="110" w:type="dxa"/>
            </w:tcMar>
            <w:vAlign w:val="top"/>
          </w:tcPr>
          <w:p>
            <w:pPr>
              <w:spacing w:after="20"/>
            </w:pPr>
            <w:r>
              <w:rPr>
                <w:sz w:val="17"/>
              </w:rPr>
              <w:t>Conciliation</w:t>
            </w:r>
          </w:p>
        </w:tc>
        <w:tc>
          <w:tcPr>
            <w:tcW w:type="dxa" w:w="2160"/>
            <w:shd w:val="clear" w:color="auto" w:fill="EAF1F6"/>
            <w:tcMar>
              <w:top w:w="60" w:type="dxa"/>
              <w:left w:w="110" w:type="dxa"/>
              <w:bottom w:w="60" w:type="dxa"/>
              <w:right w:w="110" w:type="dxa"/>
            </w:tcMar>
            <w:vAlign w:val="top"/>
          </w:tcPr>
          <w:p>
            <w:pPr>
              <w:spacing w:after="20"/>
            </w:pPr>
            <w:r>
              <w:rPr>
                <w:sz w:val="17"/>
              </w:rPr>
              <w:t>Parties, aided by conciliator</w:t>
            </w:r>
          </w:p>
        </w:tc>
        <w:tc>
          <w:tcPr>
            <w:tcW w:type="dxa" w:w="1872"/>
            <w:shd w:val="clear" w:color="auto" w:fill="EAF1F6"/>
            <w:tcMar>
              <w:top w:w="60" w:type="dxa"/>
              <w:left w:w="110" w:type="dxa"/>
              <w:bottom w:w="60" w:type="dxa"/>
              <w:right w:w="110" w:type="dxa"/>
            </w:tcMar>
            <w:vAlign w:val="top"/>
          </w:tcPr>
          <w:p>
            <w:pPr>
              <w:spacing w:after="20"/>
            </w:pPr>
            <w:r>
              <w:rPr>
                <w:sz w:val="17"/>
              </w:rPr>
              <w:t>Settlement</w:t>
            </w:r>
          </w:p>
        </w:tc>
        <w:tc>
          <w:tcPr>
            <w:tcW w:type="dxa" w:w="1728"/>
            <w:shd w:val="clear" w:color="auto" w:fill="EAF1F6"/>
            <w:tcMar>
              <w:top w:w="60" w:type="dxa"/>
              <w:left w:w="110" w:type="dxa"/>
              <w:bottom w:w="60" w:type="dxa"/>
              <w:right w:w="110" w:type="dxa"/>
            </w:tcMar>
            <w:vAlign w:val="top"/>
          </w:tcPr>
          <w:p>
            <w:pPr>
              <w:spacing w:after="20"/>
            </w:pPr>
            <w:r>
              <w:rPr>
                <w:sz w:val="17"/>
              </w:rPr>
              <w:t>Settlement agreement; S.30/S.73–74 A&amp;C for conciliation</w:t>
            </w:r>
          </w:p>
        </w:tc>
      </w:tr>
      <w:tr>
        <w:tc>
          <w:tcPr>
            <w:tcW w:type="dxa" w:w="720"/>
            <w:tcMar>
              <w:top w:w="60" w:type="dxa"/>
              <w:left w:w="110" w:type="dxa"/>
              <w:bottom w:w="60" w:type="dxa"/>
              <w:right w:w="110" w:type="dxa"/>
            </w:tcMar>
            <w:vAlign w:val="top"/>
          </w:tcPr>
          <w:p>
            <w:pPr>
              <w:spacing w:after="20"/>
            </w:pPr>
            <w:r>
              <w:rPr>
                <w:b/>
                <w:sz w:val="17"/>
              </w:rPr>
              <w:t>3</w:t>
            </w:r>
          </w:p>
        </w:tc>
        <w:tc>
          <w:tcPr>
            <w:tcW w:type="dxa" w:w="2880"/>
            <w:tcMar>
              <w:top w:w="60" w:type="dxa"/>
              <w:left w:w="110" w:type="dxa"/>
              <w:bottom w:w="60" w:type="dxa"/>
              <w:right w:w="110" w:type="dxa"/>
            </w:tcMar>
            <w:vAlign w:val="top"/>
          </w:tcPr>
          <w:p>
            <w:pPr>
              <w:spacing w:after="20"/>
            </w:pPr>
            <w:r>
              <w:rPr>
                <w:sz w:val="17"/>
              </w:rPr>
              <w:t>Mediation</w:t>
            </w:r>
          </w:p>
        </w:tc>
        <w:tc>
          <w:tcPr>
            <w:tcW w:type="dxa" w:w="2160"/>
            <w:tcMar>
              <w:top w:w="60" w:type="dxa"/>
              <w:left w:w="110" w:type="dxa"/>
              <w:bottom w:w="60" w:type="dxa"/>
              <w:right w:w="110" w:type="dxa"/>
            </w:tcMar>
            <w:vAlign w:val="top"/>
          </w:tcPr>
          <w:p>
            <w:pPr>
              <w:spacing w:after="20"/>
            </w:pPr>
            <w:r>
              <w:rPr>
                <w:sz w:val="17"/>
              </w:rPr>
              <w:t>Parties, aided by mediator</w:t>
            </w:r>
          </w:p>
        </w:tc>
        <w:tc>
          <w:tcPr>
            <w:tcW w:type="dxa" w:w="1872"/>
            <w:tcMar>
              <w:top w:w="60" w:type="dxa"/>
              <w:left w:w="110" w:type="dxa"/>
              <w:bottom w:w="60" w:type="dxa"/>
              <w:right w:w="110" w:type="dxa"/>
            </w:tcMar>
            <w:vAlign w:val="top"/>
          </w:tcPr>
          <w:p>
            <w:pPr>
              <w:spacing w:after="20"/>
            </w:pPr>
            <w:r>
              <w:rPr>
                <w:sz w:val="17"/>
              </w:rPr>
              <w:t>Mediated Settlement Agreement (MSA)</w:t>
            </w:r>
          </w:p>
        </w:tc>
        <w:tc>
          <w:tcPr>
            <w:tcW w:type="dxa" w:w="1728"/>
            <w:tcMar>
              <w:top w:w="60" w:type="dxa"/>
              <w:left w:w="110" w:type="dxa"/>
              <w:bottom w:w="60" w:type="dxa"/>
              <w:right w:w="110" w:type="dxa"/>
            </w:tcMar>
            <w:vAlign w:val="top"/>
          </w:tcPr>
          <w:p>
            <w:pPr>
              <w:spacing w:after="20"/>
            </w:pPr>
            <w:r>
              <w:rPr>
                <w:sz w:val="17"/>
              </w:rPr>
              <w:t>S.27 Mediation Act 2023 — enforceable as a decree</w:t>
            </w:r>
          </w:p>
        </w:tc>
      </w:tr>
      <w:tr>
        <w:tc>
          <w:tcPr>
            <w:tcW w:type="dxa" w:w="720"/>
            <w:shd w:val="clear" w:color="auto" w:fill="EAF1F6"/>
            <w:tcMar>
              <w:top w:w="60" w:type="dxa"/>
              <w:left w:w="110" w:type="dxa"/>
              <w:bottom w:w="60" w:type="dxa"/>
              <w:right w:w="110" w:type="dxa"/>
            </w:tcMar>
            <w:vAlign w:val="top"/>
          </w:tcPr>
          <w:p>
            <w:pPr>
              <w:spacing w:after="20"/>
            </w:pPr>
            <w:r>
              <w:rPr>
                <w:b/>
                <w:sz w:val="17"/>
              </w:rPr>
              <w:t>4</w:t>
            </w:r>
          </w:p>
        </w:tc>
        <w:tc>
          <w:tcPr>
            <w:tcW w:type="dxa" w:w="2880"/>
            <w:shd w:val="clear" w:color="auto" w:fill="EAF1F6"/>
            <w:tcMar>
              <w:top w:w="60" w:type="dxa"/>
              <w:left w:w="110" w:type="dxa"/>
              <w:bottom w:w="60" w:type="dxa"/>
              <w:right w:w="110" w:type="dxa"/>
            </w:tcMar>
            <w:vAlign w:val="top"/>
          </w:tcPr>
          <w:p>
            <w:pPr>
              <w:spacing w:after="20"/>
            </w:pPr>
            <w:r>
              <w:rPr>
                <w:sz w:val="17"/>
              </w:rPr>
              <w:t>Arbitration</w:t>
            </w:r>
          </w:p>
        </w:tc>
        <w:tc>
          <w:tcPr>
            <w:tcW w:type="dxa" w:w="2160"/>
            <w:shd w:val="clear" w:color="auto" w:fill="EAF1F6"/>
            <w:tcMar>
              <w:top w:w="60" w:type="dxa"/>
              <w:left w:w="110" w:type="dxa"/>
              <w:bottom w:w="60" w:type="dxa"/>
              <w:right w:w="110" w:type="dxa"/>
            </w:tcMar>
            <w:vAlign w:val="top"/>
          </w:tcPr>
          <w:p>
            <w:pPr>
              <w:spacing w:after="20"/>
            </w:pPr>
            <w:r>
              <w:rPr>
                <w:sz w:val="17"/>
              </w:rPr>
              <w:t>The arbitral tribunal</w:t>
            </w:r>
          </w:p>
        </w:tc>
        <w:tc>
          <w:tcPr>
            <w:tcW w:type="dxa" w:w="1872"/>
            <w:shd w:val="clear" w:color="auto" w:fill="EAF1F6"/>
            <w:tcMar>
              <w:top w:w="60" w:type="dxa"/>
              <w:left w:w="110" w:type="dxa"/>
              <w:bottom w:w="60" w:type="dxa"/>
              <w:right w:w="110" w:type="dxa"/>
            </w:tcMar>
            <w:vAlign w:val="top"/>
          </w:tcPr>
          <w:p>
            <w:pPr>
              <w:spacing w:after="20"/>
            </w:pPr>
            <w:r>
              <w:rPr>
                <w:sz w:val="17"/>
              </w:rPr>
              <w:t>Reasoned award</w:t>
            </w:r>
          </w:p>
        </w:tc>
        <w:tc>
          <w:tcPr>
            <w:tcW w:type="dxa" w:w="1728"/>
            <w:shd w:val="clear" w:color="auto" w:fill="EAF1F6"/>
            <w:tcMar>
              <w:top w:w="60" w:type="dxa"/>
              <w:left w:w="110" w:type="dxa"/>
              <w:bottom w:w="60" w:type="dxa"/>
              <w:right w:w="110" w:type="dxa"/>
            </w:tcMar>
            <w:vAlign w:val="top"/>
          </w:tcPr>
          <w:p>
            <w:pPr>
              <w:spacing w:after="20"/>
            </w:pPr>
            <w:r>
              <w:rPr>
                <w:sz w:val="17"/>
              </w:rPr>
              <w:t>S.36 A&amp;C Act 1996 — enforceable as a decree</w:t>
            </w:r>
          </w:p>
        </w:tc>
      </w:tr>
    </w:tbl>
    <w:p>
      <w:pPr>
        <w:spacing w:after="40"/>
      </w:pPr>
    </w:p>
    <w:p>
      <w:pPr>
        <w:spacing w:before="80" w:after="160"/>
        <w:jc w:val="center"/>
      </w:pPr>
      <w:r>
        <w:rPr>
          <w:b/>
          <w:i/>
          <w:color w:val="1F7A8C"/>
          <w:sz w:val="24"/>
        </w:rPr>
        <w:t>Quick settlement, with your consent — climb only as far as the dispute requires.</w:t>
      </w:r>
    </w:p>
    <w:p>
      <w:pPr>
        <w:pStyle w:val="Heading1"/>
      </w:pPr>
      <w:r>
        <w:t>3. Engine Design</w:t>
      </w:r>
    </w:p>
    <w:p>
      <w:pPr>
        <w:spacing w:after="120"/>
      </w:pPr>
      <w:r>
        <w:rPr>
          <w:b w:val="0"/>
        </w:rPr>
        <w:t>The engine is ruleset-driven and event-sourced. A case is pinned to a ruleset version at filing (so its behaviour is reproducible even if rules later change), and every material action emits a domain event that drives clocks, notices, analytics and integrations.</w:t>
      </w:r>
    </w:p>
    <w:p>
      <w:pPr>
        <w:pStyle w:val="Heading2"/>
      </w:pPr>
      <w:r>
        <w:t>3.1 Building blocks</w:t>
      </w:r>
    </w:p>
    <w:p>
      <w:pPr>
        <w:pStyle w:val="ListBullet"/>
      </w:pPr>
      <w:r>
        <w:rPr>
          <w:b/>
        </w:rPr>
        <w:t xml:space="preserve">Proceeding: </w:t>
      </w:r>
      <w:r>
        <w:t>A container for a method instance (a mediation, an arbitration) with its participants, sessions, documents, orders and outcome.</w:t>
      </w:r>
    </w:p>
    <w:p>
      <w:pPr>
        <w:pStyle w:val="ListBullet"/>
      </w:pPr>
      <w:r>
        <w:rPr>
          <w:b/>
        </w:rPr>
        <w:t xml:space="preserve">Session: </w:t>
      </w:r>
      <w:r>
        <w:t>A scheduled interaction — joint hearing, caucus, or async exchange — with attendance, recording and minutes.</w:t>
      </w:r>
    </w:p>
    <w:p>
      <w:pPr>
        <w:pStyle w:val="ListBullet"/>
      </w:pPr>
      <w:r>
        <w:rPr>
          <w:b/>
        </w:rPr>
        <w:t xml:space="preserve">Order / Direction: </w:t>
      </w:r>
      <w:r>
        <w:t>A procedural instruction by the neutral (timelines, disclosure, interim relief) recorded and served.</w:t>
      </w:r>
    </w:p>
    <w:p>
      <w:pPr>
        <w:pStyle w:val="ListBullet"/>
      </w:pPr>
      <w:r>
        <w:rPr>
          <w:b/>
        </w:rPr>
        <w:t xml:space="preserve">Outcome: </w:t>
      </w:r>
      <w:r>
        <w:t>A settlement, MSA or award produced by the proceeding, subject to maker–checker, signature and stamping.</w:t>
      </w:r>
    </w:p>
    <w:p>
      <w:pPr>
        <w:pStyle w:val="ListBullet"/>
      </w:pPr>
      <w:r>
        <w:rPr>
          <w:b/>
        </w:rPr>
        <w:t xml:space="preserve">Clock: </w:t>
      </w:r>
      <w:r>
        <w:t>A statutory or configured timer (e.g., S.29A, 90-day POSH, 21-day pre-conciliation) attached to states/transitions.</w:t>
      </w:r>
    </w:p>
    <w:p>
      <w:pPr>
        <w:pStyle w:val="Heading2"/>
      </w:pPr>
      <w:r>
        <w:t>3.2 Configuration surface (rules engine)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8"/>
              </w:rPr>
              <w:t>Configurable</w:t>
            </w:r>
          </w:p>
        </w:tc>
        <w:tc>
          <w:tcPr>
            <w:tcW w:type="dxa" w:w="7200"/>
            <w:shd w:val="clear" w:color="auto" w:fill="0B2E4F"/>
            <w:tcMar>
              <w:top w:w="60" w:type="dxa"/>
              <w:left w:w="110" w:type="dxa"/>
              <w:bottom w:w="60" w:type="dxa"/>
              <w:right w:w="110" w:type="dxa"/>
            </w:tcMar>
            <w:vAlign w:val="center"/>
          </w:tcPr>
          <w:p>
            <w:pPr>
              <w:spacing w:after="20"/>
            </w:pPr>
            <w:r>
              <w:rPr>
                <w:b/>
                <w:color w:val="FFFFFF"/>
                <w:sz w:val="18"/>
              </w:rPr>
              <w:t>Examples</w:t>
            </w:r>
          </w:p>
        </w:tc>
      </w:tr>
      <w:tr>
        <w:tc>
          <w:tcPr>
            <w:tcW w:type="dxa" w:w="2160"/>
            <w:tcMar>
              <w:top w:w="60" w:type="dxa"/>
              <w:left w:w="110" w:type="dxa"/>
              <w:bottom w:w="60" w:type="dxa"/>
              <w:right w:w="110" w:type="dxa"/>
            </w:tcMar>
            <w:vAlign w:val="top"/>
          </w:tcPr>
          <w:p>
            <w:pPr>
              <w:spacing w:after="20"/>
            </w:pPr>
            <w:r>
              <w:rPr>
                <w:b/>
                <w:sz w:val="18"/>
              </w:rPr>
              <w:t>Pathway</w:t>
            </w:r>
          </w:p>
        </w:tc>
        <w:tc>
          <w:tcPr>
            <w:tcW w:type="dxa" w:w="7200"/>
            <w:tcMar>
              <w:top w:w="60" w:type="dxa"/>
              <w:left w:w="110" w:type="dxa"/>
              <w:bottom w:w="60" w:type="dxa"/>
              <w:right w:w="110" w:type="dxa"/>
            </w:tcMar>
            <w:vAlign w:val="top"/>
          </w:tcPr>
          <w:p>
            <w:pPr>
              <w:spacing w:after="20"/>
            </w:pPr>
            <w:r>
              <w:rPr>
                <w:sz w:val="18"/>
              </w:rPr>
              <w:t>Allowed rungs, entry rung, escalation rules, whether a rung is mandatory</w:t>
            </w:r>
          </w:p>
        </w:tc>
      </w:tr>
      <w:tr>
        <w:tc>
          <w:tcPr>
            <w:tcW w:type="dxa" w:w="2160"/>
            <w:shd w:val="clear" w:color="auto" w:fill="EAF1F6"/>
            <w:tcMar>
              <w:top w:w="60" w:type="dxa"/>
              <w:left w:w="110" w:type="dxa"/>
              <w:bottom w:w="60" w:type="dxa"/>
              <w:right w:w="110" w:type="dxa"/>
            </w:tcMar>
            <w:vAlign w:val="top"/>
          </w:tcPr>
          <w:p>
            <w:pPr>
              <w:spacing w:after="20"/>
            </w:pPr>
            <w:r>
              <w:rPr>
                <w:b/>
                <w:sz w:val="18"/>
              </w:rPr>
              <w:t>Timelines</w:t>
            </w:r>
          </w:p>
        </w:tc>
        <w:tc>
          <w:tcPr>
            <w:tcW w:type="dxa" w:w="7200"/>
            <w:shd w:val="clear" w:color="auto" w:fill="EAF1F6"/>
            <w:tcMar>
              <w:top w:w="60" w:type="dxa"/>
              <w:left w:w="110" w:type="dxa"/>
              <w:bottom w:w="60" w:type="dxa"/>
              <w:right w:w="110" w:type="dxa"/>
            </w:tcMar>
            <w:vAlign w:val="top"/>
          </w:tcPr>
          <w:p>
            <w:pPr>
              <w:spacing w:after="20"/>
            </w:pPr>
            <w:r>
              <w:rPr>
                <w:sz w:val="18"/>
              </w:rPr>
              <w:t>Pre-conciliation 21 days; mediation 120 days; award 12 months (+6); POSH 90 days</w:t>
            </w:r>
          </w:p>
        </w:tc>
      </w:tr>
      <w:tr>
        <w:tc>
          <w:tcPr>
            <w:tcW w:type="dxa" w:w="2160"/>
            <w:tcMar>
              <w:top w:w="60" w:type="dxa"/>
              <w:left w:w="110" w:type="dxa"/>
              <w:bottom w:w="60" w:type="dxa"/>
              <w:right w:w="110" w:type="dxa"/>
            </w:tcMar>
            <w:vAlign w:val="top"/>
          </w:tcPr>
          <w:p>
            <w:pPr>
              <w:spacing w:after="20"/>
            </w:pPr>
            <w:r>
              <w:rPr>
                <w:b/>
                <w:sz w:val="18"/>
              </w:rPr>
              <w:t>Allocation</w:t>
            </w:r>
          </w:p>
        </w:tc>
        <w:tc>
          <w:tcPr>
            <w:tcW w:type="dxa" w:w="7200"/>
            <w:tcMar>
              <w:top w:w="60" w:type="dxa"/>
              <w:left w:w="110" w:type="dxa"/>
              <w:bottom w:w="60" w:type="dxa"/>
              <w:right w:w="110" w:type="dxa"/>
            </w:tcMar>
            <w:vAlign w:val="top"/>
          </w:tcPr>
          <w:p>
            <w:pPr>
              <w:spacing w:after="20"/>
            </w:pPr>
            <w:r>
              <w:rPr>
                <w:sz w:val="18"/>
              </w:rPr>
              <w:t>Round-robin, load-balanced, rules-based, or manual; panel size (sole / three)</w:t>
            </w:r>
          </w:p>
        </w:tc>
      </w:tr>
      <w:tr>
        <w:tc>
          <w:tcPr>
            <w:tcW w:type="dxa" w:w="2160"/>
            <w:shd w:val="clear" w:color="auto" w:fill="EAF1F6"/>
            <w:tcMar>
              <w:top w:w="60" w:type="dxa"/>
              <w:left w:w="110" w:type="dxa"/>
              <w:bottom w:w="60" w:type="dxa"/>
              <w:right w:w="110" w:type="dxa"/>
            </w:tcMar>
            <w:vAlign w:val="top"/>
          </w:tcPr>
          <w:p>
            <w:pPr>
              <w:spacing w:after="20"/>
            </w:pPr>
            <w:r>
              <w:rPr>
                <w:b/>
                <w:sz w:val="18"/>
              </w:rPr>
              <w:t>Fees</w:t>
            </w:r>
          </w:p>
        </w:tc>
        <w:tc>
          <w:tcPr>
            <w:tcW w:type="dxa" w:w="7200"/>
            <w:shd w:val="clear" w:color="auto" w:fill="EAF1F6"/>
            <w:tcMar>
              <w:top w:w="60" w:type="dxa"/>
              <w:left w:w="110" w:type="dxa"/>
              <w:bottom w:w="60" w:type="dxa"/>
              <w:right w:w="110" w:type="dxa"/>
            </w:tcMar>
            <w:vAlign w:val="top"/>
          </w:tcPr>
          <w:p>
            <w:pPr>
              <w:spacing w:after="20"/>
            </w:pPr>
            <w:r>
              <w:rPr>
                <w:sz w:val="18"/>
              </w:rPr>
              <w:t>Stage- and outcome-based schedules; who pays; success fees (EQR-08)</w:t>
            </w:r>
          </w:p>
        </w:tc>
      </w:tr>
      <w:tr>
        <w:tc>
          <w:tcPr>
            <w:tcW w:type="dxa" w:w="2160"/>
            <w:tcMar>
              <w:top w:w="60" w:type="dxa"/>
              <w:left w:w="110" w:type="dxa"/>
              <w:bottom w:w="60" w:type="dxa"/>
              <w:right w:w="110" w:type="dxa"/>
            </w:tcMar>
            <w:vAlign w:val="top"/>
          </w:tcPr>
          <w:p>
            <w:pPr>
              <w:spacing w:after="20"/>
            </w:pPr>
            <w:r>
              <w:rPr>
                <w:b/>
                <w:sz w:val="18"/>
              </w:rPr>
              <w:t>Templates</w:t>
            </w:r>
          </w:p>
        </w:tc>
        <w:tc>
          <w:tcPr>
            <w:tcW w:type="dxa" w:w="7200"/>
            <w:tcMar>
              <w:top w:w="60" w:type="dxa"/>
              <w:left w:w="110" w:type="dxa"/>
              <w:bottom w:w="60" w:type="dxa"/>
              <w:right w:w="110" w:type="dxa"/>
            </w:tcMar>
            <w:vAlign w:val="top"/>
          </w:tcPr>
          <w:p>
            <w:pPr>
              <w:spacing w:after="20"/>
            </w:pPr>
            <w:r>
              <w:rPr>
                <w:sz w:val="18"/>
              </w:rPr>
              <w:t>Notices, orders, MSA, award, certificates — per language and per sector rulebook</w:t>
            </w:r>
          </w:p>
        </w:tc>
      </w:tr>
      <w:tr>
        <w:tc>
          <w:tcPr>
            <w:tcW w:type="dxa" w:w="2160"/>
            <w:shd w:val="clear" w:color="auto" w:fill="EAF1F6"/>
            <w:tcMar>
              <w:top w:w="60" w:type="dxa"/>
              <w:left w:w="110" w:type="dxa"/>
              <w:bottom w:w="60" w:type="dxa"/>
              <w:right w:w="110" w:type="dxa"/>
            </w:tcMar>
            <w:vAlign w:val="top"/>
          </w:tcPr>
          <w:p>
            <w:pPr>
              <w:spacing w:after="20"/>
            </w:pPr>
            <w:r>
              <w:rPr>
                <w:b/>
                <w:sz w:val="18"/>
              </w:rPr>
              <w:t>Confidentiality</w:t>
            </w:r>
          </w:p>
        </w:tc>
        <w:tc>
          <w:tcPr>
            <w:tcW w:type="dxa" w:w="7200"/>
            <w:shd w:val="clear" w:color="auto" w:fill="EAF1F6"/>
            <w:tcMar>
              <w:top w:w="60" w:type="dxa"/>
              <w:left w:w="110" w:type="dxa"/>
              <w:bottom w:w="60" w:type="dxa"/>
              <w:right w:w="110" w:type="dxa"/>
            </w:tcMar>
            <w:vAlign w:val="top"/>
          </w:tcPr>
          <w:p>
            <w:pPr>
              <w:spacing w:after="20"/>
            </w:pPr>
            <w:r>
              <w:rPr>
                <w:sz w:val="18"/>
              </w:rPr>
              <w:t>Tier, redaction rules, on-platform-communication enforcement</w:t>
            </w:r>
          </w:p>
        </w:tc>
      </w:tr>
    </w:tbl>
    <w:p>
      <w:pPr>
        <w:spacing w:after="40"/>
      </w:pPr>
    </w:p>
    <w:p>
      <w:pPr>
        <w:pStyle w:val="Heading1"/>
      </w:pPr>
      <w:r>
        <w:t>4. Negotiation Engine (Rung 1)</w:t>
      </w:r>
    </w:p>
    <w:p>
      <w:pPr>
        <w:spacing w:after="120"/>
      </w:pPr>
      <w:r>
        <w:rPr>
          <w:b w:val="0"/>
        </w:rPr>
        <w:t>Direct, party-to-party resolution with optional AI facilitation — the fastest and cheapest rung, and the natural landing zone from the Dispute Explorer (EQR-07).</w:t>
      </w:r>
    </w:p>
    <w:p>
      <w:pPr>
        <w:pStyle w:val="ListBullet"/>
      </w:pPr>
      <w:r>
        <w:rPr>
          <w:b/>
        </w:rPr>
        <w:t xml:space="preserve">Structured offers: </w:t>
      </w:r>
      <w:r>
        <w:t>Parties exchange structured offers/counter-offers on-platform; each is timestamped and logged.</w:t>
      </w:r>
    </w:p>
    <w:p>
      <w:pPr>
        <w:pStyle w:val="ListBullet"/>
      </w:pPr>
      <w:r>
        <w:rPr>
          <w:b/>
        </w:rPr>
        <w:t xml:space="preserve">AI-facilitated settlement: </w:t>
      </w:r>
      <w:r>
        <w:t>For money pillars, optional range suggestion and blind-bidding: each side submits a confidential number; if they cross, the system proposes the midpoint. AI facilitates; parties consent to any settlement.</w:t>
      </w:r>
    </w:p>
    <w:p>
      <w:pPr>
        <w:pStyle w:val="ListBullet"/>
      </w:pPr>
      <w:r>
        <w:rPr>
          <w:b/>
        </w:rPr>
        <w:t xml:space="preserve">Guardrails: </w:t>
      </w:r>
      <w:r>
        <w:t>No coercion patterns; equality-of-arms prompts; either party can escalate to a neutral at any time.</w:t>
      </w:r>
    </w:p>
    <w:p>
      <w:pPr>
        <w:pStyle w:val="ListBullet"/>
      </w:pPr>
      <w:r>
        <w:rPr>
          <w:b/>
        </w:rPr>
        <w:t xml:space="preserve">Outcome: </w:t>
      </w:r>
      <w:r>
        <w:t>If agreed, terms are captured as a settlement and can be signed/stamped (§11); if not, the matter escalates to the next configured rung.</w:t>
      </w:r>
    </w:p>
    <w:p>
      <w:pPr>
        <w:pStyle w:val="Heading1"/>
      </w:pPr>
      <w:r>
        <w:t>5. Conciliation Engine (Rung 2)</w:t>
      </w:r>
    </w:p>
    <w:p>
      <w:pPr>
        <w:spacing w:after="120"/>
      </w:pPr>
      <w:r>
        <w:rPr>
          <w:b w:val="0"/>
        </w:rPr>
        <w:t>A neutral conciliator helps the parties reach a settlement, actively suggesting terms. Used heavily in NBFC and securities matters and mandated as the first neutral stage in SEBI SMART-ODR (pre-conciliation within 21 days, extendable by 10).</w:t>
      </w:r>
    </w:p>
    <w:p>
      <w:pPr>
        <w:pStyle w:val="ListBullet"/>
      </w:pPr>
      <w:r>
        <w:t>Neutral allocated by the configured method (round-robin for SMART-ODR-style flows); conflict-checked on appointment.</w:t>
      </w:r>
    </w:p>
    <w:p>
      <w:pPr>
        <w:pStyle w:val="ListBullet"/>
      </w:pPr>
      <w:r>
        <w:t>Joint and private (caucus) sessions; the conciliator may formulate and reformulate settlement terms (A&amp;C Act ss.67, 73).</w:t>
      </w:r>
    </w:p>
    <w:p>
      <w:pPr>
        <w:pStyle w:val="ListBullet"/>
      </w:pPr>
      <w:r>
        <w:t>On success, a settlement agreement is drawn and signed; under the A&amp;C Act a settlement in conciliation has the status of an arbitral award on agreed terms (s.74).</w:t>
      </w:r>
    </w:p>
    <w:p>
      <w:pPr>
        <w:pStyle w:val="ListBullet"/>
      </w:pPr>
      <w:r>
        <w:t>On failure, the matter escalates to mediation or arbitration per ruleset (e.g., SMART-ODR conciliation→arbitration).</w:t>
      </w:r>
    </w:p>
    <w:p>
      <w:pPr>
        <w:pStyle w:val="Heading1"/>
      </w:pPr>
      <w:r>
        <w:t>6. Mediation Engine (Rung 3)</w:t>
      </w:r>
    </w:p>
    <w:p>
      <w:pPr>
        <w:spacing w:after="120"/>
      </w:pPr>
      <w:r>
        <w:rPr>
          <w:b w:val="0"/>
        </w:rPr>
        <w:t>A mediator facilitates a voluntary settlement under the Mediation Act 2023. Central to family, commercial and consumer pillars, and to pre-institution mediation under s.12A Commercial Courts Act.</w:t>
      </w:r>
    </w:p>
    <w:p>
      <w:pPr>
        <w:pStyle w:val="Heading2"/>
      </w:pPr>
      <w:r>
        <w:t>6.1 Process</w:t>
      </w:r>
    </w:p>
    <w:p>
      <w:pPr>
        <w:pStyle w:val="ListBullet"/>
      </w:pPr>
      <w:r>
        <w:t>Time-bound: the Act contemplates completion within 120 days, extendable by 60 with party consent — enforced as a clock.</w:t>
      </w:r>
    </w:p>
    <w:p>
      <w:pPr>
        <w:pStyle w:val="ListBullet"/>
      </w:pPr>
      <w:r>
        <w:t>Joint sessions plus confidential caucuses; strict confidentiality of mediation communications (Act s.22).</w:t>
      </w:r>
    </w:p>
    <w:p>
      <w:pPr>
        <w:pStyle w:val="ListBullet"/>
      </w:pPr>
      <w:r>
        <w:t>Sensitivity-aware for family matters: optional counsellor/child-specialist participation, non-arbitrable flags (custody, status of marriage).</w:t>
      </w:r>
    </w:p>
    <w:p>
      <w:pPr>
        <w:pStyle w:val="ListBullet"/>
      </w:pPr>
      <w:r>
        <w:t>Tooling: parenting-plan builder (family), term-sheet builder, and template MSA generation.</w:t>
      </w:r>
    </w:p>
    <w:p>
      <w:pPr>
        <w:pStyle w:val="Heading2"/>
      </w:pPr>
      <w:r>
        <w:t>6.2 The Mediated Settlement Agreement (MSA)</w:t>
      </w:r>
    </w:p>
    <w:p>
      <w:pPr>
        <w:spacing w:after="120"/>
      </w:pPr>
      <w:r>
        <w:rPr>
          <w:b w:val="0"/>
        </w:rPr>
        <w:t>The MSA is signed by the parties and authenticated by the mediator, then stamped and registered as configured. Under s.27 of the Mediation Act 2023 it is final and binding and enforceable in the same manner as a court judgment or decree (see §13 and EQR-04). A challenge lies only on limited grounds (fraud, corruption, impersonation, or a subject-matter declared unfit) within 90 days, extendable by 90 (s.28).</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Enforceability by construction.  </w:t>
            </w:r>
            <w:r>
              <w:rPr>
                <w:color w:val="1A1A1A"/>
                <w:sz w:val="19"/>
              </w:rPr>
              <w:t>The engine assembles the s.27 enforcement bundle automatically: the signed MSA, the mediator's authentication, the confidentiality-preserving record, e-stamp and e-sign certificates, and a certified copy — so a party can move straight to enforcement without reconstructing the file.</w:t>
            </w:r>
          </w:p>
        </w:tc>
      </w:tr>
    </w:tbl>
    <w:p>
      <w:pPr>
        <w:spacing w:after="40"/>
      </w:pPr>
    </w:p>
    <w:p>
      <w:pPr>
        <w:pStyle w:val="Heading1"/>
      </w:pPr>
      <w:r>
        <w:t>7. Arbitration Engine (Rung 4)</w:t>
      </w:r>
    </w:p>
    <w:p>
      <w:pPr>
        <w:spacing w:after="120"/>
      </w:pPr>
      <w:r>
        <w:rPr>
          <w:b w:val="0"/>
        </w:rPr>
        <w:t>A tribunal adjudicates and renders a binding, reasoned award under the Arbitration &amp; Conciliation Act 1996. Used in commercial/MSME, NBFC (post-conciliation), securities and international matters.</w:t>
      </w:r>
    </w:p>
    <w:p>
      <w:pPr>
        <w:pStyle w:val="Heading2"/>
      </w:pPr>
      <w:r>
        <w:t>7.1 Constitution &amp; conduct</w:t>
      </w:r>
    </w:p>
    <w:p>
      <w:pPr>
        <w:pStyle w:val="ListBullet"/>
      </w:pPr>
      <w:r>
        <w:rPr>
          <w:b/>
        </w:rPr>
        <w:t xml:space="preserve">Tribunal: </w:t>
      </w:r>
      <w:r>
        <w:t>Sole arbitrator or panel of three; appointment via allocation + party nomination as the clause/ruleset specifies; conflict-checked.</w:t>
      </w:r>
    </w:p>
    <w:p>
      <w:pPr>
        <w:pStyle w:val="ListBullet"/>
      </w:pPr>
      <w:r>
        <w:rPr>
          <w:b/>
        </w:rPr>
        <w:t xml:space="preserve">Terms of Reference: </w:t>
      </w:r>
      <w:r>
        <w:t>Captured and signed; seat, venue, governing law and language recorded on the case.</w:t>
      </w:r>
    </w:p>
    <w:p>
      <w:pPr>
        <w:pStyle w:val="ListBullet"/>
      </w:pPr>
      <w:r>
        <w:rPr>
          <w:b/>
        </w:rPr>
        <w:t xml:space="preserve">Procedure: </w:t>
      </w:r>
      <w:r>
        <w:t>Statement of claim/defence, counter-claims, disclosure, interim orders (s.17), hearings, written submissions.</w:t>
      </w:r>
    </w:p>
    <w:p>
      <w:pPr>
        <w:pStyle w:val="ListBullet"/>
      </w:pPr>
      <w:r>
        <w:rPr>
          <w:b/>
        </w:rPr>
        <w:t xml:space="preserve">Audio-visual mode: </w:t>
      </w:r>
      <w:r>
        <w:t>Hearings may be conducted wholly or partly by video; the platform is built for this and is forward-compatible with the proposed Arbitration &amp; Conciliation (Amendment) Bill 2024 recognising audio-visual arbitration.</w:t>
      </w:r>
    </w:p>
    <w:p>
      <w:pPr>
        <w:pStyle w:val="Heading2"/>
      </w:pPr>
      <w:r>
        <w:t>7.2 The award</w:t>
      </w:r>
    </w:p>
    <w:p>
      <w:pPr>
        <w:pStyle w:val="ListBullet"/>
      </w:pPr>
      <w:r>
        <w:rPr>
          <w:b/>
        </w:rPr>
        <w:t xml:space="preserve">Award clock: </w:t>
      </w:r>
      <w:r>
        <w:t>Section 29A time-limit (12 months from completion of pleadings, extendable by 6 months by consent) is tracked as a clock with pre-breach alerts; institutional extension controls are provided.</w:t>
      </w:r>
    </w:p>
    <w:p>
      <w:pPr>
        <w:pStyle w:val="ListBullet"/>
      </w:pPr>
      <w:r>
        <w:rPr>
          <w:b/>
        </w:rPr>
        <w:t xml:space="preserve">Drafting &amp; maker–checker: </w:t>
      </w:r>
      <w:r>
        <w:t>Reasoned award drafted with AI assistance (attributed, never authored by AI); a maker–checker review precedes signature.</w:t>
      </w:r>
    </w:p>
    <w:p>
      <w:pPr>
        <w:pStyle w:val="ListBullet"/>
      </w:pPr>
      <w:r>
        <w:rPr>
          <w:b/>
        </w:rPr>
        <w:t xml:space="preserve">Signature &amp; stamp: </w:t>
      </w:r>
      <w:r>
        <w:t>Digitally signed by the tribunal (DSC/eSign) and e-stamped; qualified timestamp applied.</w:t>
      </w:r>
    </w:p>
    <w:p>
      <w:pPr>
        <w:pStyle w:val="ListBullet"/>
      </w:pPr>
      <w:r>
        <w:rPr>
          <w:b/>
        </w:rPr>
        <w:t xml:space="preserve">Correction: </w:t>
      </w:r>
      <w:r>
        <w:t>Section 33 correction/interpretation/additional-award workflow supported.</w:t>
      </w:r>
    </w:p>
    <w:p>
      <w:pPr>
        <w:pStyle w:val="Heading1"/>
      </w:pPr>
      <w:r>
        <w:t>8. Hearing Management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8"/>
              </w:rPr>
              <w:t>Capability</w:t>
            </w:r>
          </w:p>
        </w:tc>
        <w:tc>
          <w:tcPr>
            <w:tcW w:type="dxa" w:w="6912"/>
            <w:shd w:val="clear" w:color="auto" w:fill="0B2E4F"/>
            <w:tcMar>
              <w:top w:w="60" w:type="dxa"/>
              <w:left w:w="110" w:type="dxa"/>
              <w:bottom w:w="60" w:type="dxa"/>
              <w:right w:w="110" w:type="dxa"/>
            </w:tcMar>
            <w:vAlign w:val="center"/>
          </w:tcPr>
          <w:p>
            <w:pPr>
              <w:spacing w:after="20"/>
            </w:pPr>
            <w:r>
              <w:rPr>
                <w:b/>
                <w:color w:val="FFFFFF"/>
                <w:sz w:val="18"/>
              </w:rPr>
              <w:t>Detail</w:t>
            </w:r>
          </w:p>
        </w:tc>
      </w:tr>
      <w:tr>
        <w:tc>
          <w:tcPr>
            <w:tcW w:type="dxa" w:w="2448"/>
            <w:tcMar>
              <w:top w:w="60" w:type="dxa"/>
              <w:left w:w="110" w:type="dxa"/>
              <w:bottom w:w="60" w:type="dxa"/>
              <w:right w:w="110" w:type="dxa"/>
            </w:tcMar>
            <w:vAlign w:val="top"/>
          </w:tcPr>
          <w:p>
            <w:pPr>
              <w:spacing w:after="20"/>
            </w:pPr>
            <w:r>
              <w:rPr>
                <w:b/>
                <w:sz w:val="18"/>
              </w:rPr>
              <w:t>Scheduling</w:t>
            </w:r>
          </w:p>
        </w:tc>
        <w:tc>
          <w:tcPr>
            <w:tcW w:type="dxa" w:w="6912"/>
            <w:tcMar>
              <w:top w:w="60" w:type="dxa"/>
              <w:left w:w="110" w:type="dxa"/>
              <w:bottom w:w="60" w:type="dxa"/>
              <w:right w:w="110" w:type="dxa"/>
            </w:tcMar>
            <w:vAlign w:val="top"/>
          </w:tcPr>
          <w:p>
            <w:pPr>
              <w:spacing w:after="20"/>
            </w:pPr>
            <w:r>
              <w:rPr>
                <w:sz w:val="18"/>
              </w:rPr>
              <w:t>Availability-aware scheduling; notices with acknowledgements; calendar and reminder integration.</w:t>
            </w:r>
          </w:p>
        </w:tc>
      </w:tr>
      <w:tr>
        <w:tc>
          <w:tcPr>
            <w:tcW w:type="dxa" w:w="2448"/>
            <w:shd w:val="clear" w:color="auto" w:fill="EAF1F6"/>
            <w:tcMar>
              <w:top w:w="60" w:type="dxa"/>
              <w:left w:w="110" w:type="dxa"/>
              <w:bottom w:w="60" w:type="dxa"/>
              <w:right w:w="110" w:type="dxa"/>
            </w:tcMar>
            <w:vAlign w:val="top"/>
          </w:tcPr>
          <w:p>
            <w:pPr>
              <w:spacing w:after="20"/>
            </w:pPr>
            <w:r>
              <w:rPr>
                <w:b/>
                <w:sz w:val="18"/>
              </w:rPr>
              <w:t>Video/audio hearings</w:t>
            </w:r>
          </w:p>
        </w:tc>
        <w:tc>
          <w:tcPr>
            <w:tcW w:type="dxa" w:w="6912"/>
            <w:shd w:val="clear" w:color="auto" w:fill="EAF1F6"/>
            <w:tcMar>
              <w:top w:w="60" w:type="dxa"/>
              <w:left w:w="110" w:type="dxa"/>
              <w:bottom w:w="60" w:type="dxa"/>
              <w:right w:w="110" w:type="dxa"/>
            </w:tcMar>
            <w:vAlign w:val="top"/>
          </w:tcPr>
          <w:p>
            <w:pPr>
              <w:spacing w:after="20"/>
            </w:pPr>
            <w:r>
              <w:rPr>
                <w:sz w:val="18"/>
              </w:rPr>
              <w:t>Integrated bridge; joint room and private caucus rooms; audio-only low-bandwidth fallback.</w:t>
            </w:r>
          </w:p>
        </w:tc>
      </w:tr>
      <w:tr>
        <w:tc>
          <w:tcPr>
            <w:tcW w:type="dxa" w:w="2448"/>
            <w:tcMar>
              <w:top w:w="60" w:type="dxa"/>
              <w:left w:w="110" w:type="dxa"/>
              <w:bottom w:w="60" w:type="dxa"/>
              <w:right w:w="110" w:type="dxa"/>
            </w:tcMar>
            <w:vAlign w:val="top"/>
          </w:tcPr>
          <w:p>
            <w:pPr>
              <w:spacing w:after="20"/>
            </w:pPr>
            <w:r>
              <w:rPr>
                <w:b/>
                <w:sz w:val="18"/>
              </w:rPr>
              <w:t>Identity at hearing</w:t>
            </w:r>
          </w:p>
        </w:tc>
        <w:tc>
          <w:tcPr>
            <w:tcW w:type="dxa" w:w="6912"/>
            <w:tcMar>
              <w:top w:w="60" w:type="dxa"/>
              <w:left w:w="110" w:type="dxa"/>
              <w:bottom w:w="60" w:type="dxa"/>
              <w:right w:w="110" w:type="dxa"/>
            </w:tcMar>
            <w:vAlign w:val="top"/>
          </w:tcPr>
          <w:p>
            <w:pPr>
              <w:spacing w:after="20"/>
            </w:pPr>
            <w:r>
              <w:rPr>
                <w:sz w:val="18"/>
              </w:rPr>
              <w:t>Liveness/face-match at join and for signing; periodic re-auth in long hearings (fraud/deepfake defence).</w:t>
            </w:r>
          </w:p>
        </w:tc>
      </w:tr>
      <w:tr>
        <w:tc>
          <w:tcPr>
            <w:tcW w:type="dxa" w:w="2448"/>
            <w:shd w:val="clear" w:color="auto" w:fill="EAF1F6"/>
            <w:tcMar>
              <w:top w:w="60" w:type="dxa"/>
              <w:left w:w="110" w:type="dxa"/>
              <w:bottom w:w="60" w:type="dxa"/>
              <w:right w:w="110" w:type="dxa"/>
            </w:tcMar>
            <w:vAlign w:val="top"/>
          </w:tcPr>
          <w:p>
            <w:pPr>
              <w:spacing w:after="20"/>
            </w:pPr>
            <w:r>
              <w:rPr>
                <w:b/>
                <w:sz w:val="18"/>
              </w:rPr>
              <w:t>Record</w:t>
            </w:r>
          </w:p>
        </w:tc>
        <w:tc>
          <w:tcPr>
            <w:tcW w:type="dxa" w:w="6912"/>
            <w:shd w:val="clear" w:color="auto" w:fill="EAF1F6"/>
            <w:tcMar>
              <w:top w:w="60" w:type="dxa"/>
              <w:left w:w="110" w:type="dxa"/>
              <w:bottom w:w="60" w:type="dxa"/>
              <w:right w:w="110" w:type="dxa"/>
            </w:tcMar>
            <w:vAlign w:val="top"/>
          </w:tcPr>
          <w:p>
            <w:pPr>
              <w:spacing w:after="20"/>
            </w:pPr>
            <w:r>
              <w:rPr>
                <w:sz w:val="18"/>
              </w:rPr>
              <w:t>Recording (per consent/tier), auto-transcript, and neutral-approved minutes; all hashed to the audit log.</w:t>
            </w:r>
          </w:p>
        </w:tc>
      </w:tr>
      <w:tr>
        <w:tc>
          <w:tcPr>
            <w:tcW w:type="dxa" w:w="2448"/>
            <w:tcMar>
              <w:top w:w="60" w:type="dxa"/>
              <w:left w:w="110" w:type="dxa"/>
              <w:bottom w:w="60" w:type="dxa"/>
              <w:right w:w="110" w:type="dxa"/>
            </w:tcMar>
            <w:vAlign w:val="top"/>
          </w:tcPr>
          <w:p>
            <w:pPr>
              <w:spacing w:after="20"/>
            </w:pPr>
            <w:r>
              <w:rPr>
                <w:b/>
                <w:sz w:val="18"/>
              </w:rPr>
              <w:t>Accessibility</w:t>
            </w:r>
          </w:p>
        </w:tc>
        <w:tc>
          <w:tcPr>
            <w:tcW w:type="dxa" w:w="6912"/>
            <w:tcMar>
              <w:top w:w="60" w:type="dxa"/>
              <w:left w:w="110" w:type="dxa"/>
              <w:bottom w:w="60" w:type="dxa"/>
              <w:right w:w="110" w:type="dxa"/>
            </w:tcMar>
            <w:vAlign w:val="top"/>
          </w:tcPr>
          <w:p>
            <w:pPr>
              <w:spacing w:after="20"/>
            </w:pPr>
            <w:r>
              <w:rPr>
                <w:sz w:val="18"/>
              </w:rPr>
              <w:t>Captioning, screen-reader support, interpreter/vernacular support.</w:t>
            </w:r>
          </w:p>
        </w:tc>
      </w:tr>
    </w:tbl>
    <w:p>
      <w:pPr>
        <w:spacing w:after="40"/>
      </w:pPr>
    </w:p>
    <w:p>
      <w:pPr>
        <w:pStyle w:val="Heading1"/>
      </w:pPr>
      <w:r>
        <w:t>9. Evidence Management</w:t>
      </w:r>
    </w:p>
    <w:p>
      <w:pPr>
        <w:pStyle w:val="ListBullet"/>
      </w:pPr>
      <w:r>
        <w:rPr>
          <w:b/>
        </w:rPr>
        <w:t xml:space="preserve">Integrity: </w:t>
      </w:r>
      <w:r>
        <w:t>Every upload is content-hashed on write; a chain-of-custody log records who did what and when.</w:t>
      </w:r>
    </w:p>
    <w:p>
      <w:pPr>
        <w:pStyle w:val="ListBullet"/>
      </w:pPr>
      <w:r>
        <w:rPr>
          <w:b/>
        </w:rPr>
        <w:t xml:space="preserve">Document-AI: </w:t>
      </w:r>
      <w:r>
        <w:t>OCR, field extraction, classification and tamper hints assist the neutral; AI never admits evidence.</w:t>
      </w:r>
    </w:p>
    <w:p>
      <w:pPr>
        <w:pStyle w:val="ListBullet"/>
      </w:pPr>
      <w:r>
        <w:rPr>
          <w:b/>
        </w:rPr>
        <w:t xml:space="preserve">Admissibility: </w:t>
      </w:r>
      <w:r>
        <w:t>Neutral marks items admitted/rejected; admitted items receive a qualified timestamp for a presumption of integrity.</w:t>
      </w:r>
    </w:p>
    <w:p>
      <w:pPr>
        <w:pStyle w:val="ListBullet"/>
      </w:pPr>
      <w:r>
        <w:rPr>
          <w:b/>
        </w:rPr>
        <w:t xml:space="preserve">Confidentiality: </w:t>
      </w:r>
      <w:r>
        <w:t>Tier-driven access; POSH/marital evidence is field-encrypted and need-to-know; on-platform communication is enforced.</w:t>
      </w:r>
    </w:p>
    <w:p>
      <w:pPr>
        <w:pStyle w:val="ListBullet"/>
      </w:pPr>
      <w:r>
        <w:rPr>
          <w:b/>
        </w:rPr>
        <w:t xml:space="preserve">Retention &amp; legal hold: </w:t>
      </w:r>
      <w:r>
        <w:t>Per EQR-14; legal-hold prevents deletion during challenge/execution.</w:t>
      </w:r>
    </w:p>
    <w:p>
      <w:pPr>
        <w:pStyle w:val="Heading1"/>
      </w:pPr>
      <w:r>
        <w:t>10. Service of Process (Legally-Defensible Notice)</w:t>
      </w:r>
    </w:p>
    <w:p>
      <w:pPr>
        <w:spacing w:after="120"/>
      </w:pPr>
      <w:r>
        <w:rPr>
          <w:b w:val="0"/>
        </w:rPr>
        <w:t>Enforceability depends on provable notice. The notice service records every attempt and produces a service certificate that forms part of the execution bundle.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8"/>
              </w:rPr>
              <w:t>Element</w:t>
            </w:r>
          </w:p>
        </w:tc>
        <w:tc>
          <w:tcPr>
            <w:tcW w:type="dxa" w:w="7344"/>
            <w:shd w:val="clear" w:color="auto" w:fill="0B2E4F"/>
            <w:tcMar>
              <w:top w:w="60" w:type="dxa"/>
              <w:left w:w="110" w:type="dxa"/>
              <w:bottom w:w="60" w:type="dxa"/>
              <w:right w:w="110" w:type="dxa"/>
            </w:tcMar>
            <w:vAlign w:val="center"/>
          </w:tcPr>
          <w:p>
            <w:pPr>
              <w:spacing w:after="20"/>
            </w:pPr>
            <w:r>
              <w:rPr>
                <w:b/>
                <w:color w:val="FFFFFF"/>
                <w:sz w:val="18"/>
              </w:rPr>
              <w:t>Detail</w:t>
            </w:r>
          </w:p>
        </w:tc>
      </w:tr>
      <w:tr>
        <w:tc>
          <w:tcPr>
            <w:tcW w:type="dxa" w:w="2016"/>
            <w:tcMar>
              <w:top w:w="60" w:type="dxa"/>
              <w:left w:w="110" w:type="dxa"/>
              <w:bottom w:w="60" w:type="dxa"/>
              <w:right w:w="110" w:type="dxa"/>
            </w:tcMar>
            <w:vAlign w:val="top"/>
          </w:tcPr>
          <w:p>
            <w:pPr>
              <w:spacing w:after="20"/>
            </w:pPr>
            <w:r>
              <w:rPr>
                <w:b/>
                <w:sz w:val="18"/>
              </w:rPr>
              <w:t>Channels</w:t>
            </w:r>
          </w:p>
        </w:tc>
        <w:tc>
          <w:tcPr>
            <w:tcW w:type="dxa" w:w="7344"/>
            <w:tcMar>
              <w:top w:w="60" w:type="dxa"/>
              <w:left w:w="110" w:type="dxa"/>
              <w:bottom w:w="60" w:type="dxa"/>
              <w:right w:w="110" w:type="dxa"/>
            </w:tcMar>
            <w:vAlign w:val="top"/>
          </w:tcPr>
          <w:p>
            <w:pPr>
              <w:spacing w:after="20"/>
            </w:pPr>
            <w:r>
              <w:rPr>
                <w:sz w:val="18"/>
              </w:rPr>
              <w:t>On-platform, email, SMS, WhatsApp, and where required physical/registered post via partner.</w:t>
            </w:r>
          </w:p>
        </w:tc>
      </w:tr>
      <w:tr>
        <w:tc>
          <w:tcPr>
            <w:tcW w:type="dxa" w:w="2016"/>
            <w:shd w:val="clear" w:color="auto" w:fill="EAF1F6"/>
            <w:tcMar>
              <w:top w:w="60" w:type="dxa"/>
              <w:left w:w="110" w:type="dxa"/>
              <w:bottom w:w="60" w:type="dxa"/>
              <w:right w:w="110" w:type="dxa"/>
            </w:tcMar>
            <w:vAlign w:val="top"/>
          </w:tcPr>
          <w:p>
            <w:pPr>
              <w:spacing w:after="20"/>
            </w:pPr>
            <w:r>
              <w:rPr>
                <w:b/>
                <w:sz w:val="18"/>
              </w:rPr>
              <w:t>Attempts log</w:t>
            </w:r>
          </w:p>
        </w:tc>
        <w:tc>
          <w:tcPr>
            <w:tcW w:type="dxa" w:w="7344"/>
            <w:shd w:val="clear" w:color="auto" w:fill="EAF1F6"/>
            <w:tcMar>
              <w:top w:w="60" w:type="dxa"/>
              <w:left w:w="110" w:type="dxa"/>
              <w:bottom w:w="60" w:type="dxa"/>
              <w:right w:w="110" w:type="dxa"/>
            </w:tcMar>
            <w:vAlign w:val="top"/>
          </w:tcPr>
          <w:p>
            <w:pPr>
              <w:spacing w:after="20"/>
            </w:pPr>
            <w:r>
              <w:rPr>
                <w:sz w:val="18"/>
              </w:rPr>
              <w:t>Each attempt, channel, timestamp, delivery/read signal and failure reason recorded (service_attempts).</w:t>
            </w:r>
          </w:p>
        </w:tc>
      </w:tr>
      <w:tr>
        <w:tc>
          <w:tcPr>
            <w:tcW w:type="dxa" w:w="2016"/>
            <w:tcMar>
              <w:top w:w="60" w:type="dxa"/>
              <w:left w:w="110" w:type="dxa"/>
              <w:bottom w:w="60" w:type="dxa"/>
              <w:right w:w="110" w:type="dxa"/>
            </w:tcMar>
            <w:vAlign w:val="top"/>
          </w:tcPr>
          <w:p>
            <w:pPr>
              <w:spacing w:after="20"/>
            </w:pPr>
            <w:r>
              <w:rPr>
                <w:b/>
                <w:sz w:val="18"/>
              </w:rPr>
              <w:t>Certificate</w:t>
            </w:r>
          </w:p>
        </w:tc>
        <w:tc>
          <w:tcPr>
            <w:tcW w:type="dxa" w:w="7344"/>
            <w:tcMar>
              <w:top w:w="60" w:type="dxa"/>
              <w:left w:w="110" w:type="dxa"/>
              <w:bottom w:w="60" w:type="dxa"/>
              <w:right w:w="110" w:type="dxa"/>
            </w:tcMar>
            <w:vAlign w:val="top"/>
          </w:tcPr>
          <w:p>
            <w:pPr>
              <w:spacing w:after="20"/>
            </w:pPr>
            <w:r>
              <w:rPr>
                <w:sz w:val="18"/>
              </w:rPr>
              <w:t>A signed service_certificate summarising attempts and deemed-service rules per ruleset.</w:t>
            </w:r>
          </w:p>
        </w:tc>
      </w:tr>
      <w:tr>
        <w:tc>
          <w:tcPr>
            <w:tcW w:type="dxa" w:w="2016"/>
            <w:shd w:val="clear" w:color="auto" w:fill="EAF1F6"/>
            <w:tcMar>
              <w:top w:w="60" w:type="dxa"/>
              <w:left w:w="110" w:type="dxa"/>
              <w:bottom w:w="60" w:type="dxa"/>
              <w:right w:w="110" w:type="dxa"/>
            </w:tcMar>
            <w:vAlign w:val="top"/>
          </w:tcPr>
          <w:p>
            <w:pPr>
              <w:spacing w:after="20"/>
            </w:pPr>
            <w:r>
              <w:rPr>
                <w:b/>
                <w:sz w:val="18"/>
              </w:rPr>
              <w:t>Deemed service</w:t>
            </w:r>
          </w:p>
        </w:tc>
        <w:tc>
          <w:tcPr>
            <w:tcW w:type="dxa" w:w="7344"/>
            <w:shd w:val="clear" w:color="auto" w:fill="EAF1F6"/>
            <w:tcMar>
              <w:top w:w="60" w:type="dxa"/>
              <w:left w:w="110" w:type="dxa"/>
              <w:bottom w:w="60" w:type="dxa"/>
              <w:right w:w="110" w:type="dxa"/>
            </w:tcMar>
            <w:vAlign w:val="top"/>
          </w:tcPr>
          <w:p>
            <w:pPr>
              <w:spacing w:after="20"/>
            </w:pPr>
            <w:r>
              <w:rPr>
                <w:sz w:val="18"/>
              </w:rPr>
              <w:t>Configurable deemed-service rules honour statutory presumptions where applicable.</w:t>
            </w:r>
          </w:p>
        </w:tc>
      </w:tr>
    </w:tbl>
    <w:p>
      <w:pPr>
        <w:spacing w:after="40"/>
      </w:pPr>
    </w:p>
    <w:p>
      <w:pPr>
        <w:pStyle w:val="Heading1"/>
      </w:pPr>
      <w:r>
        <w:t>11. Settlement Management</w:t>
      </w:r>
    </w:p>
    <w:p>
      <w:pPr>
        <w:spacing w:after="120"/>
      </w:pPr>
      <w:r>
        <w:rPr>
          <w:b w:val="0"/>
        </w:rPr>
        <w:t>Applies to negotiation, conciliation and mediation outcomes. The settlement/MSA is captured with structured terms, signed and stamped, and (for money matters) linked to the escrow/payment plan.</w:t>
      </w:r>
    </w:p>
    <w:p>
      <w:pPr>
        <w:pStyle w:val="ListBullet"/>
      </w:pPr>
      <w:r>
        <w:rPr>
          <w:b/>
        </w:rPr>
        <w:t xml:space="preserve">Capture: </w:t>
      </w:r>
      <w:r>
        <w:t>Structured terms (who pays whom, how much, by when, conditions); template generation per pillar.</w:t>
      </w:r>
    </w:p>
    <w:p>
      <w:pPr>
        <w:pStyle w:val="ListBullet"/>
      </w:pPr>
      <w:r>
        <w:rPr>
          <w:b/>
        </w:rPr>
        <w:t xml:space="preserve">e-Sign: </w:t>
      </w:r>
      <w:r>
        <w:t>Aadhaar eSign / DSC / click-to-sign per party type; signatures sealed and timestamped.</w:t>
      </w:r>
    </w:p>
    <w:p>
      <w:pPr>
        <w:pStyle w:val="ListBullet"/>
      </w:pPr>
      <w:r>
        <w:rPr>
          <w:b/>
        </w:rPr>
        <w:t xml:space="preserve">e-Stamp: </w:t>
      </w:r>
      <w:r>
        <w:t>State e-stamp (SHCIL) or NeSL e-stamp applied per stamp-duty rules; NeSL Digital Document Execution combines e-stamp + e-sign in one flow.</w:t>
      </w:r>
    </w:p>
    <w:p>
      <w:pPr>
        <w:pStyle w:val="ListBullet"/>
      </w:pPr>
      <w:r>
        <w:rPr>
          <w:b/>
        </w:rPr>
        <w:t xml:space="preserve">Payment linkage: </w:t>
      </w:r>
      <w:r>
        <w:t>Instalment schedules linked to escrow release and payout (EQR-08); breach re-opens escalation.</w:t>
      </w:r>
    </w:p>
    <w:p>
      <w:pPr>
        <w:pStyle w:val="Heading1"/>
      </w:pPr>
      <w:r>
        <w:t>12. Award Management</w:t>
      </w:r>
    </w:p>
    <w:p>
      <w:pPr>
        <w:spacing w:after="120"/>
      </w:pPr>
      <w:r>
        <w:rPr>
          <w:b w:val="0"/>
        </w:rPr>
        <w:t>The signed, stamped, timestamped award is stored immutably and packaged for delivery and, if needed, execution. Certified copies are issued to parties; the tribunal's fee note is raised to finance.</w:t>
      </w:r>
    </w:p>
    <w:p>
      <w:pPr>
        <w:pStyle w:val="Heading1"/>
      </w:pPr>
      <w:r>
        <w:t>13. Execution &amp; Enforcement of Outcomes</w:t>
      </w:r>
    </w:p>
    <w:p>
      <w:pPr>
        <w:spacing w:after="120"/>
      </w:pPr>
      <w:r>
        <w:rPr>
          <w:b w:val="0"/>
        </w:rPr>
        <w:t>This is where many ODR platforms are weak and where Equator is deliberately strong: turning a digital outcome into money recovered or an obligation performed. The engine assembles a court-ready bundle and supports the relevant statutory routes.</w:t>
      </w:r>
    </w:p>
    <w:p>
      <w:pPr>
        <w:pStyle w:val="Heading2"/>
      </w:pPr>
      <w:r>
        <w:t>13.1 Arbitral award — Section 36, A&amp;C Act 1996</w:t>
      </w:r>
    </w:p>
    <w:p>
      <w:pPr>
        <w:pStyle w:val="ListBullet"/>
      </w:pPr>
      <w:r>
        <w:t>An award becomes enforceable as a decree of the court after the s.34 challenge period (three months, extendable by 30 days) expires without a successful challenge.</w:t>
      </w:r>
    </w:p>
    <w:p>
      <w:pPr>
        <w:pStyle w:val="ListBullet"/>
      </w:pPr>
      <w:r>
        <w:t>The platform tracks the s.34 window as a clock and, on expiry, marks the award enforceable and generates the execution bundle (award, ToR, service certificates, signatures, e-stamp, custody log).</w:t>
      </w:r>
    </w:p>
    <w:p>
      <w:pPr>
        <w:pStyle w:val="ListBullet"/>
      </w:pPr>
      <w:r>
        <w:t>Execution proceeds before the competent court under the CPC; the platform exports the bundle in an e-Courts-compatible format and tracks the execution petition status in the case record.</w:t>
      </w:r>
    </w:p>
    <w:p>
      <w:pPr>
        <w:pStyle w:val="Heading2"/>
      </w:pPr>
      <w:r>
        <w:t>13.2 Mediated settlement — Section 27, Mediation Act 2023</w:t>
      </w:r>
    </w:p>
    <w:p>
      <w:pPr>
        <w:pStyle w:val="ListBullet"/>
      </w:pPr>
      <w:r>
        <w:t>An MSA (signed + mediator-authenticated) is enforceable as if it were a court judgment/decree under the CPC; it may also be relied on as a defence/set-off.</w:t>
      </w:r>
    </w:p>
    <w:p>
      <w:pPr>
        <w:pStyle w:val="ListBullet"/>
      </w:pPr>
      <w:r>
        <w:t>The platform issues the certified MSA and the s.27 enforcement bundle; challenge is only on s.28 grounds within 90 (+90) days, which is tracked as a clock.</w:t>
      </w:r>
    </w:p>
    <w:p>
      <w:pPr>
        <w:pStyle w:val="Heading2"/>
      </w:pPr>
      <w:r>
        <w:t>13.3 MSME route — MSMED Act 2006</w:t>
      </w:r>
    </w:p>
    <w:p>
      <w:pPr>
        <w:pStyle w:val="ListBullet"/>
      </w:pPr>
      <w:r>
        <w:t>For registered suppliers, the MSEFC conciliation→arbitration route (s.18) produces an award enforceable under s.36; a party challenging must pre-deposit 75% of the award (s.19).</w:t>
      </w:r>
    </w:p>
    <w:p>
      <w:pPr>
        <w:pStyle w:val="ListBullet"/>
      </w:pPr>
      <w:r>
        <w:t>The platform supports Samadhaan-style referral, the 90-day clock, and the pre-deposit condition in its challenge workflow.</w:t>
      </w:r>
    </w:p>
    <w:p>
      <w:pPr>
        <w:pStyle w:val="Heading2"/>
      </w:pPr>
      <w:r>
        <w:t>13.4 Cross-border enforcement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7"/>
              </w:rPr>
              <w:t>Instrument</w:t>
            </w:r>
          </w:p>
        </w:tc>
        <w:tc>
          <w:tcPr>
            <w:tcW w:type="dxa" w:w="3600"/>
            <w:shd w:val="clear" w:color="auto" w:fill="0B2E4F"/>
            <w:tcMar>
              <w:top w:w="60" w:type="dxa"/>
              <w:left w:w="110" w:type="dxa"/>
              <w:bottom w:w="60" w:type="dxa"/>
              <w:right w:w="110" w:type="dxa"/>
            </w:tcMar>
            <w:vAlign w:val="center"/>
          </w:tcPr>
          <w:p>
            <w:pPr>
              <w:spacing w:after="20"/>
            </w:pPr>
            <w:r>
              <w:rPr>
                <w:b/>
                <w:color w:val="FFFFFF"/>
                <w:sz w:val="17"/>
              </w:rPr>
              <w:t>Use</w:t>
            </w:r>
          </w:p>
        </w:tc>
        <w:tc>
          <w:tcPr>
            <w:tcW w:type="dxa" w:w="3312"/>
            <w:shd w:val="clear" w:color="auto" w:fill="0B2E4F"/>
            <w:tcMar>
              <w:top w:w="60" w:type="dxa"/>
              <w:left w:w="110" w:type="dxa"/>
              <w:bottom w:w="60" w:type="dxa"/>
              <w:right w:w="110" w:type="dxa"/>
            </w:tcMar>
            <w:vAlign w:val="center"/>
          </w:tcPr>
          <w:p>
            <w:pPr>
              <w:spacing w:after="20"/>
            </w:pPr>
            <w:r>
              <w:rPr>
                <w:b/>
                <w:color w:val="FFFFFF"/>
                <w:sz w:val="17"/>
              </w:rPr>
              <w:t>Platform support</w:t>
            </w:r>
          </w:p>
        </w:tc>
      </w:tr>
      <w:tr>
        <w:tc>
          <w:tcPr>
            <w:tcW w:type="dxa" w:w="2448"/>
            <w:tcMar>
              <w:top w:w="60" w:type="dxa"/>
              <w:left w:w="110" w:type="dxa"/>
              <w:bottom w:w="60" w:type="dxa"/>
              <w:right w:w="110" w:type="dxa"/>
            </w:tcMar>
            <w:vAlign w:val="top"/>
          </w:tcPr>
          <w:p>
            <w:pPr>
              <w:spacing w:after="20"/>
            </w:pPr>
            <w:r>
              <w:rPr>
                <w:b/>
                <w:sz w:val="17"/>
              </w:rPr>
              <w:t>New York Convention 1958</w:t>
            </w:r>
          </w:p>
        </w:tc>
        <w:tc>
          <w:tcPr>
            <w:tcW w:type="dxa" w:w="3600"/>
            <w:tcMar>
              <w:top w:w="60" w:type="dxa"/>
              <w:left w:w="110" w:type="dxa"/>
              <w:bottom w:w="60" w:type="dxa"/>
              <w:right w:w="110" w:type="dxa"/>
            </w:tcMar>
            <w:vAlign w:val="top"/>
          </w:tcPr>
          <w:p>
            <w:pPr>
              <w:spacing w:after="20"/>
            </w:pPr>
            <w:r>
              <w:rPr>
                <w:sz w:val="17"/>
              </w:rPr>
              <w:t>Enforce foreign arbitral awards in 170+ states</w:t>
            </w:r>
          </w:p>
        </w:tc>
        <w:tc>
          <w:tcPr>
            <w:tcW w:type="dxa" w:w="3312"/>
            <w:tcMar>
              <w:top w:w="60" w:type="dxa"/>
              <w:left w:w="110" w:type="dxa"/>
              <w:bottom w:w="60" w:type="dxa"/>
              <w:right w:w="110" w:type="dxa"/>
            </w:tcMar>
            <w:vAlign w:val="top"/>
          </w:tcPr>
          <w:p>
            <w:pPr>
              <w:spacing w:after="20"/>
            </w:pPr>
            <w:r>
              <w:rPr>
                <w:sz w:val="17"/>
              </w:rPr>
              <w:t>Provenance pack: award, agreement, seat, signatures, translations</w:t>
            </w:r>
          </w:p>
        </w:tc>
      </w:tr>
      <w:tr>
        <w:tc>
          <w:tcPr>
            <w:tcW w:type="dxa" w:w="2448"/>
            <w:shd w:val="clear" w:color="auto" w:fill="EAF1F6"/>
            <w:tcMar>
              <w:top w:w="60" w:type="dxa"/>
              <w:left w:w="110" w:type="dxa"/>
              <w:bottom w:w="60" w:type="dxa"/>
              <w:right w:w="110" w:type="dxa"/>
            </w:tcMar>
            <w:vAlign w:val="top"/>
          </w:tcPr>
          <w:p>
            <w:pPr>
              <w:spacing w:after="20"/>
            </w:pPr>
            <w:r>
              <w:rPr>
                <w:b/>
                <w:sz w:val="17"/>
              </w:rPr>
              <w:t>Singapore Convention 2019</w:t>
            </w:r>
          </w:p>
        </w:tc>
        <w:tc>
          <w:tcPr>
            <w:tcW w:type="dxa" w:w="3600"/>
            <w:shd w:val="clear" w:color="auto" w:fill="EAF1F6"/>
            <w:tcMar>
              <w:top w:w="60" w:type="dxa"/>
              <w:left w:w="110" w:type="dxa"/>
              <w:bottom w:w="60" w:type="dxa"/>
              <w:right w:w="110" w:type="dxa"/>
            </w:tcMar>
            <w:vAlign w:val="top"/>
          </w:tcPr>
          <w:p>
            <w:pPr>
              <w:spacing w:after="20"/>
            </w:pPr>
            <w:r>
              <w:rPr>
                <w:sz w:val="17"/>
              </w:rPr>
              <w:t>Enforce international mediated settlements abroad</w:t>
            </w:r>
          </w:p>
        </w:tc>
        <w:tc>
          <w:tcPr>
            <w:tcW w:type="dxa" w:w="3312"/>
            <w:shd w:val="clear" w:color="auto" w:fill="EAF1F6"/>
            <w:tcMar>
              <w:top w:w="60" w:type="dxa"/>
              <w:left w:w="110" w:type="dxa"/>
              <w:bottom w:w="60" w:type="dxa"/>
              <w:right w:w="110" w:type="dxa"/>
            </w:tcMar>
            <w:vAlign w:val="top"/>
          </w:tcPr>
          <w:p>
            <w:pPr>
              <w:spacing w:after="20"/>
            </w:pPr>
            <w:r>
              <w:rPr>
                <w:sz w:val="17"/>
              </w:rPr>
              <w:t>Convention-format packaging; note: India signed but has not yet ratified — flagged in-product</w:t>
            </w:r>
          </w:p>
        </w:tc>
      </w:tr>
      <w:tr>
        <w:tc>
          <w:tcPr>
            <w:tcW w:type="dxa" w:w="2448"/>
            <w:tcMar>
              <w:top w:w="60" w:type="dxa"/>
              <w:left w:w="110" w:type="dxa"/>
              <w:bottom w:w="60" w:type="dxa"/>
              <w:right w:w="110" w:type="dxa"/>
            </w:tcMar>
            <w:vAlign w:val="top"/>
          </w:tcPr>
          <w:p>
            <w:pPr>
              <w:spacing w:after="20"/>
            </w:pPr>
            <w:r>
              <w:rPr>
                <w:b/>
                <w:sz w:val="17"/>
              </w:rPr>
              <w:t>UNCITRAL Model Law</w:t>
            </w:r>
          </w:p>
        </w:tc>
        <w:tc>
          <w:tcPr>
            <w:tcW w:type="dxa" w:w="3600"/>
            <w:tcMar>
              <w:top w:w="60" w:type="dxa"/>
              <w:left w:w="110" w:type="dxa"/>
              <w:bottom w:w="60" w:type="dxa"/>
              <w:right w:w="110" w:type="dxa"/>
            </w:tcMar>
            <w:vAlign w:val="top"/>
          </w:tcPr>
          <w:p>
            <w:pPr>
              <w:spacing w:after="20"/>
            </w:pPr>
            <w:r>
              <w:rPr>
                <w:sz w:val="17"/>
              </w:rPr>
              <w:t>Reference frame for international arbitration</w:t>
            </w:r>
          </w:p>
        </w:tc>
        <w:tc>
          <w:tcPr>
            <w:tcW w:type="dxa" w:w="3312"/>
            <w:tcMar>
              <w:top w:w="60" w:type="dxa"/>
              <w:left w:w="110" w:type="dxa"/>
              <w:bottom w:w="60" w:type="dxa"/>
              <w:right w:w="110" w:type="dxa"/>
            </w:tcMar>
            <w:vAlign w:val="top"/>
          </w:tcPr>
          <w:p>
            <w:pPr>
              <w:spacing w:after="20"/>
            </w:pPr>
            <w:r>
              <w:rPr>
                <w:sz w:val="17"/>
              </w:rPr>
              <w:t>Seat/governing-law selection and rulebook alignment</w:t>
            </w:r>
          </w:p>
        </w:tc>
      </w:tr>
    </w:tbl>
    <w:p>
      <w:pPr>
        <w:spacing w:after="40"/>
      </w:pPr>
    </w:p>
    <w:p>
      <w:pPr>
        <w:pStyle w:val="Heading2"/>
      </w:pPr>
      <w:r>
        <w:t>13.5 Digital execution rails</w:t>
      </w:r>
    </w:p>
    <w:p>
      <w:pPr>
        <w:pStyle w:val="ListBullet"/>
      </w:pPr>
      <w:r>
        <w:rPr>
          <w:b/>
        </w:rPr>
        <w:t xml:space="preserve">NeSL Digital Document Execution: </w:t>
      </w:r>
      <w:r>
        <w:t>Combined e-stamp + e-sign for settlements and undertakings; real-time, paperless.</w:t>
      </w:r>
    </w:p>
    <w:p>
      <w:pPr>
        <w:pStyle w:val="ListBullet"/>
      </w:pPr>
      <w:r>
        <w:rPr>
          <w:b/>
        </w:rPr>
        <w:t xml:space="preserve">Escrow release: </w:t>
      </w:r>
      <w:r>
        <w:t>On performance/settlement, funds release from escrow to the payee (EQR-08).</w:t>
      </w:r>
    </w:p>
    <w:p>
      <w:pPr>
        <w:pStyle w:val="ListBullet"/>
      </w:pPr>
      <w:r>
        <w:rPr>
          <w:b/>
        </w:rPr>
        <w:t xml:space="preserve">SmartExecution tracking: </w:t>
      </w:r>
      <w:r>
        <w:t>A party-facing execution tracker (status like a court execution petition) surfaces each step to closure.</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Punchline for the product.  </w:t>
            </w:r>
            <w:r>
              <w:rPr>
                <w:color w:val="1A1A1A"/>
                <w:sz w:val="19"/>
              </w:rPr>
              <w:t>Ensure execution at ground level — the outcome is not the finish line; recovery is. Equator packages every outcome for enforcement and tracks it to completion.</w:t>
            </w:r>
          </w:p>
        </w:tc>
      </w:tr>
    </w:tbl>
    <w:p>
      <w:pPr>
        <w:spacing w:after="40"/>
      </w:pPr>
    </w:p>
    <w:p>
      <w:pPr>
        <w:pStyle w:val="Heading1"/>
      </w:pPr>
      <w:r>
        <w:t>14. Timelines &amp; Compliance Clocks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7"/>
              </w:rPr>
              <w:t>Clock</w:t>
            </w:r>
          </w:p>
        </w:tc>
        <w:tc>
          <w:tcPr>
            <w:tcW w:type="dxa" w:w="2448"/>
            <w:shd w:val="clear" w:color="auto" w:fill="0B2E4F"/>
            <w:tcMar>
              <w:top w:w="60" w:type="dxa"/>
              <w:left w:w="110" w:type="dxa"/>
              <w:bottom w:w="60" w:type="dxa"/>
              <w:right w:w="110" w:type="dxa"/>
            </w:tcMar>
            <w:vAlign w:val="center"/>
          </w:tcPr>
          <w:p>
            <w:pPr>
              <w:spacing w:after="20"/>
            </w:pPr>
            <w:r>
              <w:rPr>
                <w:b/>
                <w:color w:val="FFFFFF"/>
                <w:sz w:val="17"/>
              </w:rPr>
              <w:t>Trigger</w:t>
            </w:r>
          </w:p>
        </w:tc>
        <w:tc>
          <w:tcPr>
            <w:tcW w:type="dxa" w:w="1872"/>
            <w:shd w:val="clear" w:color="auto" w:fill="0B2E4F"/>
            <w:tcMar>
              <w:top w:w="60" w:type="dxa"/>
              <w:left w:w="110" w:type="dxa"/>
              <w:bottom w:w="60" w:type="dxa"/>
              <w:right w:w="110" w:type="dxa"/>
            </w:tcMar>
            <w:vAlign w:val="center"/>
          </w:tcPr>
          <w:p>
            <w:pPr>
              <w:spacing w:after="20"/>
            </w:pPr>
            <w:r>
              <w:rPr>
                <w:b/>
                <w:color w:val="FFFFFF"/>
                <w:sz w:val="17"/>
              </w:rPr>
              <w:t>Limit</w:t>
            </w:r>
          </w:p>
        </w:tc>
        <w:tc>
          <w:tcPr>
            <w:tcW w:type="dxa" w:w="2304"/>
            <w:shd w:val="clear" w:color="auto" w:fill="0B2E4F"/>
            <w:tcMar>
              <w:top w:w="60" w:type="dxa"/>
              <w:left w:w="110" w:type="dxa"/>
              <w:bottom w:w="60" w:type="dxa"/>
              <w:right w:w="110" w:type="dxa"/>
            </w:tcMar>
            <w:vAlign w:val="center"/>
          </w:tcPr>
          <w:p>
            <w:pPr>
              <w:spacing w:after="20"/>
            </w:pPr>
            <w:r>
              <w:rPr>
                <w:b/>
                <w:color w:val="FFFFFF"/>
                <w:sz w:val="17"/>
              </w:rPr>
              <w:t>Source</w:t>
            </w:r>
          </w:p>
        </w:tc>
      </w:tr>
      <w:tr>
        <w:tc>
          <w:tcPr>
            <w:tcW w:type="dxa" w:w="2736"/>
            <w:tcMar>
              <w:top w:w="60" w:type="dxa"/>
              <w:left w:w="110" w:type="dxa"/>
              <w:bottom w:w="60" w:type="dxa"/>
              <w:right w:w="110" w:type="dxa"/>
            </w:tcMar>
            <w:vAlign w:val="top"/>
          </w:tcPr>
          <w:p>
            <w:pPr>
              <w:spacing w:after="20"/>
            </w:pPr>
            <w:r>
              <w:rPr>
                <w:b/>
                <w:sz w:val="17"/>
              </w:rPr>
              <w:t>Pre-conciliation (securities)</w:t>
            </w:r>
          </w:p>
        </w:tc>
        <w:tc>
          <w:tcPr>
            <w:tcW w:type="dxa" w:w="2448"/>
            <w:tcMar>
              <w:top w:w="60" w:type="dxa"/>
              <w:left w:w="110" w:type="dxa"/>
              <w:bottom w:w="60" w:type="dxa"/>
              <w:right w:w="110" w:type="dxa"/>
            </w:tcMar>
            <w:vAlign w:val="top"/>
          </w:tcPr>
          <w:p>
            <w:pPr>
              <w:spacing w:after="20"/>
            </w:pPr>
            <w:r>
              <w:rPr>
                <w:sz w:val="17"/>
              </w:rPr>
              <w:t>Complaint filed</w:t>
            </w:r>
          </w:p>
        </w:tc>
        <w:tc>
          <w:tcPr>
            <w:tcW w:type="dxa" w:w="1872"/>
            <w:tcMar>
              <w:top w:w="60" w:type="dxa"/>
              <w:left w:w="110" w:type="dxa"/>
              <w:bottom w:w="60" w:type="dxa"/>
              <w:right w:w="110" w:type="dxa"/>
            </w:tcMar>
            <w:vAlign w:val="top"/>
          </w:tcPr>
          <w:p>
            <w:pPr>
              <w:spacing w:after="20"/>
            </w:pPr>
            <w:r>
              <w:rPr>
                <w:sz w:val="17"/>
              </w:rPr>
              <w:t>21 days (+10)</w:t>
            </w:r>
          </w:p>
        </w:tc>
        <w:tc>
          <w:tcPr>
            <w:tcW w:type="dxa" w:w="2304"/>
            <w:tcMar>
              <w:top w:w="60" w:type="dxa"/>
              <w:left w:w="110" w:type="dxa"/>
              <w:bottom w:w="60" w:type="dxa"/>
              <w:right w:w="110" w:type="dxa"/>
            </w:tcMar>
            <w:vAlign w:val="top"/>
          </w:tcPr>
          <w:p>
            <w:pPr>
              <w:spacing w:after="20"/>
            </w:pPr>
            <w:r>
              <w:rPr>
                <w:sz w:val="17"/>
              </w:rPr>
              <w:t>SEBI SMART-ODR</w:t>
            </w:r>
          </w:p>
        </w:tc>
      </w:tr>
      <w:tr>
        <w:tc>
          <w:tcPr>
            <w:tcW w:type="dxa" w:w="2736"/>
            <w:shd w:val="clear" w:color="auto" w:fill="EAF1F6"/>
            <w:tcMar>
              <w:top w:w="60" w:type="dxa"/>
              <w:left w:w="110" w:type="dxa"/>
              <w:bottom w:w="60" w:type="dxa"/>
              <w:right w:w="110" w:type="dxa"/>
            </w:tcMar>
            <w:vAlign w:val="top"/>
          </w:tcPr>
          <w:p>
            <w:pPr>
              <w:spacing w:after="20"/>
            </w:pPr>
            <w:r>
              <w:rPr>
                <w:b/>
                <w:sz w:val="17"/>
              </w:rPr>
              <w:t>Mediation</w:t>
            </w:r>
          </w:p>
        </w:tc>
        <w:tc>
          <w:tcPr>
            <w:tcW w:type="dxa" w:w="2448"/>
            <w:shd w:val="clear" w:color="auto" w:fill="EAF1F6"/>
            <w:tcMar>
              <w:top w:w="60" w:type="dxa"/>
              <w:left w:w="110" w:type="dxa"/>
              <w:bottom w:w="60" w:type="dxa"/>
              <w:right w:w="110" w:type="dxa"/>
            </w:tcMar>
            <w:vAlign w:val="top"/>
          </w:tcPr>
          <w:p>
            <w:pPr>
              <w:spacing w:after="20"/>
            </w:pPr>
            <w:r>
              <w:rPr>
                <w:sz w:val="17"/>
              </w:rPr>
              <w:t>Mediation commences</w:t>
            </w:r>
          </w:p>
        </w:tc>
        <w:tc>
          <w:tcPr>
            <w:tcW w:type="dxa" w:w="1872"/>
            <w:shd w:val="clear" w:color="auto" w:fill="EAF1F6"/>
            <w:tcMar>
              <w:top w:w="60" w:type="dxa"/>
              <w:left w:w="110" w:type="dxa"/>
              <w:bottom w:w="60" w:type="dxa"/>
              <w:right w:w="110" w:type="dxa"/>
            </w:tcMar>
            <w:vAlign w:val="top"/>
          </w:tcPr>
          <w:p>
            <w:pPr>
              <w:spacing w:after="20"/>
            </w:pPr>
            <w:r>
              <w:rPr>
                <w:sz w:val="17"/>
              </w:rPr>
              <w:t>120 days (+60)</w:t>
            </w:r>
          </w:p>
        </w:tc>
        <w:tc>
          <w:tcPr>
            <w:tcW w:type="dxa" w:w="2304"/>
            <w:shd w:val="clear" w:color="auto" w:fill="EAF1F6"/>
            <w:tcMar>
              <w:top w:w="60" w:type="dxa"/>
              <w:left w:w="110" w:type="dxa"/>
              <w:bottom w:w="60" w:type="dxa"/>
              <w:right w:w="110" w:type="dxa"/>
            </w:tcMar>
            <w:vAlign w:val="top"/>
          </w:tcPr>
          <w:p>
            <w:pPr>
              <w:spacing w:after="20"/>
            </w:pPr>
            <w:r>
              <w:rPr>
                <w:sz w:val="17"/>
              </w:rPr>
              <w:t>Mediation Act 2023</w:t>
            </w:r>
          </w:p>
        </w:tc>
      </w:tr>
      <w:tr>
        <w:tc>
          <w:tcPr>
            <w:tcW w:type="dxa" w:w="2736"/>
            <w:tcMar>
              <w:top w:w="60" w:type="dxa"/>
              <w:left w:w="110" w:type="dxa"/>
              <w:bottom w:w="60" w:type="dxa"/>
              <w:right w:w="110" w:type="dxa"/>
            </w:tcMar>
            <w:vAlign w:val="top"/>
          </w:tcPr>
          <w:p>
            <w:pPr>
              <w:spacing w:after="20"/>
            </w:pPr>
            <w:r>
              <w:rPr>
                <w:b/>
                <w:sz w:val="17"/>
              </w:rPr>
              <w:t>MSA challenge</w:t>
            </w:r>
          </w:p>
        </w:tc>
        <w:tc>
          <w:tcPr>
            <w:tcW w:type="dxa" w:w="2448"/>
            <w:tcMar>
              <w:top w:w="60" w:type="dxa"/>
              <w:left w:w="110" w:type="dxa"/>
              <w:bottom w:w="60" w:type="dxa"/>
              <w:right w:w="110" w:type="dxa"/>
            </w:tcMar>
            <w:vAlign w:val="top"/>
          </w:tcPr>
          <w:p>
            <w:pPr>
              <w:spacing w:after="20"/>
            </w:pPr>
            <w:r>
              <w:rPr>
                <w:sz w:val="17"/>
              </w:rPr>
              <w:t>MSA received</w:t>
            </w:r>
          </w:p>
        </w:tc>
        <w:tc>
          <w:tcPr>
            <w:tcW w:type="dxa" w:w="1872"/>
            <w:tcMar>
              <w:top w:w="60" w:type="dxa"/>
              <w:left w:w="110" w:type="dxa"/>
              <w:bottom w:w="60" w:type="dxa"/>
              <w:right w:w="110" w:type="dxa"/>
            </w:tcMar>
            <w:vAlign w:val="top"/>
          </w:tcPr>
          <w:p>
            <w:pPr>
              <w:spacing w:after="20"/>
            </w:pPr>
            <w:r>
              <w:rPr>
                <w:sz w:val="17"/>
              </w:rPr>
              <w:t>90 days (+90)</w:t>
            </w:r>
          </w:p>
        </w:tc>
        <w:tc>
          <w:tcPr>
            <w:tcW w:type="dxa" w:w="2304"/>
            <w:tcMar>
              <w:top w:w="60" w:type="dxa"/>
              <w:left w:w="110" w:type="dxa"/>
              <w:bottom w:w="60" w:type="dxa"/>
              <w:right w:w="110" w:type="dxa"/>
            </w:tcMar>
            <w:vAlign w:val="top"/>
          </w:tcPr>
          <w:p>
            <w:pPr>
              <w:spacing w:after="20"/>
            </w:pPr>
            <w:r>
              <w:rPr>
                <w:sz w:val="17"/>
              </w:rPr>
              <w:t>Mediation Act s.28</w:t>
            </w:r>
          </w:p>
        </w:tc>
      </w:tr>
      <w:tr>
        <w:tc>
          <w:tcPr>
            <w:tcW w:type="dxa" w:w="2736"/>
            <w:shd w:val="clear" w:color="auto" w:fill="EAF1F6"/>
            <w:tcMar>
              <w:top w:w="60" w:type="dxa"/>
              <w:left w:w="110" w:type="dxa"/>
              <w:bottom w:w="60" w:type="dxa"/>
              <w:right w:w="110" w:type="dxa"/>
            </w:tcMar>
            <w:vAlign w:val="top"/>
          </w:tcPr>
          <w:p>
            <w:pPr>
              <w:spacing w:after="20"/>
            </w:pPr>
            <w:r>
              <w:rPr>
                <w:b/>
                <w:sz w:val="17"/>
              </w:rPr>
              <w:t>Award (S.29A)</w:t>
            </w:r>
          </w:p>
        </w:tc>
        <w:tc>
          <w:tcPr>
            <w:tcW w:type="dxa" w:w="2448"/>
            <w:shd w:val="clear" w:color="auto" w:fill="EAF1F6"/>
            <w:tcMar>
              <w:top w:w="60" w:type="dxa"/>
              <w:left w:w="110" w:type="dxa"/>
              <w:bottom w:w="60" w:type="dxa"/>
              <w:right w:w="110" w:type="dxa"/>
            </w:tcMar>
            <w:vAlign w:val="top"/>
          </w:tcPr>
          <w:p>
            <w:pPr>
              <w:spacing w:after="20"/>
            </w:pPr>
            <w:r>
              <w:rPr>
                <w:sz w:val="17"/>
              </w:rPr>
              <w:t>Pleadings complete</w:t>
            </w:r>
          </w:p>
        </w:tc>
        <w:tc>
          <w:tcPr>
            <w:tcW w:type="dxa" w:w="1872"/>
            <w:shd w:val="clear" w:color="auto" w:fill="EAF1F6"/>
            <w:tcMar>
              <w:top w:w="60" w:type="dxa"/>
              <w:left w:w="110" w:type="dxa"/>
              <w:bottom w:w="60" w:type="dxa"/>
              <w:right w:w="110" w:type="dxa"/>
            </w:tcMar>
            <w:vAlign w:val="top"/>
          </w:tcPr>
          <w:p>
            <w:pPr>
              <w:spacing w:after="20"/>
            </w:pPr>
            <w:r>
              <w:rPr>
                <w:sz w:val="17"/>
              </w:rPr>
              <w:t>12 months (+6)</w:t>
            </w:r>
          </w:p>
        </w:tc>
        <w:tc>
          <w:tcPr>
            <w:tcW w:type="dxa" w:w="2304"/>
            <w:shd w:val="clear" w:color="auto" w:fill="EAF1F6"/>
            <w:tcMar>
              <w:top w:w="60" w:type="dxa"/>
              <w:left w:w="110" w:type="dxa"/>
              <w:bottom w:w="60" w:type="dxa"/>
              <w:right w:w="110" w:type="dxa"/>
            </w:tcMar>
            <w:vAlign w:val="top"/>
          </w:tcPr>
          <w:p>
            <w:pPr>
              <w:spacing w:after="20"/>
            </w:pPr>
            <w:r>
              <w:rPr>
                <w:sz w:val="17"/>
              </w:rPr>
              <w:t>A&amp;C Act s.29A</w:t>
            </w:r>
          </w:p>
        </w:tc>
      </w:tr>
      <w:tr>
        <w:tc>
          <w:tcPr>
            <w:tcW w:type="dxa" w:w="2736"/>
            <w:tcMar>
              <w:top w:w="60" w:type="dxa"/>
              <w:left w:w="110" w:type="dxa"/>
              <w:bottom w:w="60" w:type="dxa"/>
              <w:right w:w="110" w:type="dxa"/>
            </w:tcMar>
            <w:vAlign w:val="top"/>
          </w:tcPr>
          <w:p>
            <w:pPr>
              <w:spacing w:after="20"/>
            </w:pPr>
            <w:r>
              <w:rPr>
                <w:b/>
                <w:sz w:val="17"/>
              </w:rPr>
              <w:t>Award challenge (S.34)</w:t>
            </w:r>
          </w:p>
        </w:tc>
        <w:tc>
          <w:tcPr>
            <w:tcW w:type="dxa" w:w="2448"/>
            <w:tcMar>
              <w:top w:w="60" w:type="dxa"/>
              <w:left w:w="110" w:type="dxa"/>
              <w:bottom w:w="60" w:type="dxa"/>
              <w:right w:w="110" w:type="dxa"/>
            </w:tcMar>
            <w:vAlign w:val="top"/>
          </w:tcPr>
          <w:p>
            <w:pPr>
              <w:spacing w:after="20"/>
            </w:pPr>
            <w:r>
              <w:rPr>
                <w:sz w:val="17"/>
              </w:rPr>
              <w:t>Award received</w:t>
            </w:r>
          </w:p>
        </w:tc>
        <w:tc>
          <w:tcPr>
            <w:tcW w:type="dxa" w:w="1872"/>
            <w:tcMar>
              <w:top w:w="60" w:type="dxa"/>
              <w:left w:w="110" w:type="dxa"/>
              <w:bottom w:w="60" w:type="dxa"/>
              <w:right w:w="110" w:type="dxa"/>
            </w:tcMar>
            <w:vAlign w:val="top"/>
          </w:tcPr>
          <w:p>
            <w:pPr>
              <w:spacing w:after="20"/>
            </w:pPr>
            <w:r>
              <w:rPr>
                <w:sz w:val="17"/>
              </w:rPr>
              <w:t>3 months (+30 days)</w:t>
            </w:r>
          </w:p>
        </w:tc>
        <w:tc>
          <w:tcPr>
            <w:tcW w:type="dxa" w:w="2304"/>
            <w:tcMar>
              <w:top w:w="60" w:type="dxa"/>
              <w:left w:w="110" w:type="dxa"/>
              <w:bottom w:w="60" w:type="dxa"/>
              <w:right w:w="110" w:type="dxa"/>
            </w:tcMar>
            <w:vAlign w:val="top"/>
          </w:tcPr>
          <w:p>
            <w:pPr>
              <w:spacing w:after="20"/>
            </w:pPr>
            <w:r>
              <w:rPr>
                <w:sz w:val="17"/>
              </w:rPr>
              <w:t>A&amp;C Act s.34</w:t>
            </w:r>
          </w:p>
        </w:tc>
      </w:tr>
      <w:tr>
        <w:tc>
          <w:tcPr>
            <w:tcW w:type="dxa" w:w="2736"/>
            <w:shd w:val="clear" w:color="auto" w:fill="EAF1F6"/>
            <w:tcMar>
              <w:top w:w="60" w:type="dxa"/>
              <w:left w:w="110" w:type="dxa"/>
              <w:bottom w:w="60" w:type="dxa"/>
              <w:right w:w="110" w:type="dxa"/>
            </w:tcMar>
            <w:vAlign w:val="top"/>
          </w:tcPr>
          <w:p>
            <w:pPr>
              <w:spacing w:after="20"/>
            </w:pPr>
            <w:r>
              <w:rPr>
                <w:b/>
                <w:sz w:val="17"/>
              </w:rPr>
              <w:t>MSME resolution</w:t>
            </w:r>
          </w:p>
        </w:tc>
        <w:tc>
          <w:tcPr>
            <w:tcW w:type="dxa" w:w="2448"/>
            <w:shd w:val="clear" w:color="auto" w:fill="EAF1F6"/>
            <w:tcMar>
              <w:top w:w="60" w:type="dxa"/>
              <w:left w:w="110" w:type="dxa"/>
              <w:bottom w:w="60" w:type="dxa"/>
              <w:right w:w="110" w:type="dxa"/>
            </w:tcMar>
            <w:vAlign w:val="top"/>
          </w:tcPr>
          <w:p>
            <w:pPr>
              <w:spacing w:after="20"/>
            </w:pPr>
            <w:r>
              <w:rPr>
                <w:sz w:val="17"/>
              </w:rPr>
              <w:t>MSEFC reference</w:t>
            </w:r>
          </w:p>
        </w:tc>
        <w:tc>
          <w:tcPr>
            <w:tcW w:type="dxa" w:w="1872"/>
            <w:shd w:val="clear" w:color="auto" w:fill="EAF1F6"/>
            <w:tcMar>
              <w:top w:w="60" w:type="dxa"/>
              <w:left w:w="110" w:type="dxa"/>
              <w:bottom w:w="60" w:type="dxa"/>
              <w:right w:w="110" w:type="dxa"/>
            </w:tcMar>
            <w:vAlign w:val="top"/>
          </w:tcPr>
          <w:p>
            <w:pPr>
              <w:spacing w:after="20"/>
            </w:pPr>
            <w:r>
              <w:rPr>
                <w:sz w:val="17"/>
              </w:rPr>
              <w:t>90 days</w:t>
            </w:r>
          </w:p>
        </w:tc>
        <w:tc>
          <w:tcPr>
            <w:tcW w:type="dxa" w:w="2304"/>
            <w:shd w:val="clear" w:color="auto" w:fill="EAF1F6"/>
            <w:tcMar>
              <w:top w:w="60" w:type="dxa"/>
              <w:left w:w="110" w:type="dxa"/>
              <w:bottom w:w="60" w:type="dxa"/>
              <w:right w:w="110" w:type="dxa"/>
            </w:tcMar>
            <w:vAlign w:val="top"/>
          </w:tcPr>
          <w:p>
            <w:pPr>
              <w:spacing w:after="20"/>
            </w:pPr>
            <w:r>
              <w:rPr>
                <w:sz w:val="17"/>
              </w:rPr>
              <w:t>MSMED Act s.18</w:t>
            </w:r>
          </w:p>
        </w:tc>
      </w:tr>
      <w:tr>
        <w:tc>
          <w:tcPr>
            <w:tcW w:type="dxa" w:w="2736"/>
            <w:tcMar>
              <w:top w:w="60" w:type="dxa"/>
              <w:left w:w="110" w:type="dxa"/>
              <w:bottom w:w="60" w:type="dxa"/>
              <w:right w:w="110" w:type="dxa"/>
            </w:tcMar>
            <w:vAlign w:val="top"/>
          </w:tcPr>
          <w:p>
            <w:pPr>
              <w:spacing w:after="20"/>
            </w:pPr>
            <w:r>
              <w:rPr>
                <w:b/>
                <w:sz w:val="17"/>
              </w:rPr>
              <w:t>POSH inquiry</w:t>
            </w:r>
          </w:p>
        </w:tc>
        <w:tc>
          <w:tcPr>
            <w:tcW w:type="dxa" w:w="2448"/>
            <w:tcMar>
              <w:top w:w="60" w:type="dxa"/>
              <w:left w:w="110" w:type="dxa"/>
              <w:bottom w:w="60" w:type="dxa"/>
              <w:right w:w="110" w:type="dxa"/>
            </w:tcMar>
            <w:vAlign w:val="top"/>
          </w:tcPr>
          <w:p>
            <w:pPr>
              <w:spacing w:after="20"/>
            </w:pPr>
            <w:r>
              <w:rPr>
                <w:sz w:val="17"/>
              </w:rPr>
              <w:t>Complaint admitted</w:t>
            </w:r>
          </w:p>
        </w:tc>
        <w:tc>
          <w:tcPr>
            <w:tcW w:type="dxa" w:w="1872"/>
            <w:tcMar>
              <w:top w:w="60" w:type="dxa"/>
              <w:left w:w="110" w:type="dxa"/>
              <w:bottom w:w="60" w:type="dxa"/>
              <w:right w:w="110" w:type="dxa"/>
            </w:tcMar>
            <w:vAlign w:val="top"/>
          </w:tcPr>
          <w:p>
            <w:pPr>
              <w:spacing w:after="20"/>
            </w:pPr>
            <w:r>
              <w:rPr>
                <w:sz w:val="17"/>
              </w:rPr>
              <w:t>90 days</w:t>
            </w:r>
          </w:p>
        </w:tc>
        <w:tc>
          <w:tcPr>
            <w:tcW w:type="dxa" w:w="2304"/>
            <w:tcMar>
              <w:top w:w="60" w:type="dxa"/>
              <w:left w:w="110" w:type="dxa"/>
              <w:bottom w:w="60" w:type="dxa"/>
              <w:right w:w="110" w:type="dxa"/>
            </w:tcMar>
            <w:vAlign w:val="top"/>
          </w:tcPr>
          <w:p>
            <w:pPr>
              <w:spacing w:after="20"/>
            </w:pPr>
            <w:r>
              <w:rPr>
                <w:sz w:val="17"/>
              </w:rPr>
              <w:t>POSH Act</w:t>
            </w:r>
          </w:p>
        </w:tc>
      </w:tr>
      <w:tr>
        <w:tc>
          <w:tcPr>
            <w:tcW w:type="dxa" w:w="2736"/>
            <w:shd w:val="clear" w:color="auto" w:fill="EAF1F6"/>
            <w:tcMar>
              <w:top w:w="60" w:type="dxa"/>
              <w:left w:w="110" w:type="dxa"/>
              <w:bottom w:w="60" w:type="dxa"/>
              <w:right w:w="110" w:type="dxa"/>
            </w:tcMar>
            <w:vAlign w:val="top"/>
          </w:tcPr>
          <w:p>
            <w:pPr>
              <w:spacing w:after="20"/>
            </w:pPr>
            <w:r>
              <w:rPr>
                <w:b/>
                <w:sz w:val="17"/>
              </w:rPr>
              <w:t>Enterprise grievance (lending)</w:t>
            </w:r>
          </w:p>
        </w:tc>
        <w:tc>
          <w:tcPr>
            <w:tcW w:type="dxa" w:w="2448"/>
            <w:shd w:val="clear" w:color="auto" w:fill="EAF1F6"/>
            <w:tcMar>
              <w:top w:w="60" w:type="dxa"/>
              <w:left w:w="110" w:type="dxa"/>
              <w:bottom w:w="60" w:type="dxa"/>
              <w:right w:w="110" w:type="dxa"/>
            </w:tcMar>
            <w:vAlign w:val="top"/>
          </w:tcPr>
          <w:p>
            <w:pPr>
              <w:spacing w:after="20"/>
            </w:pPr>
            <w:r>
              <w:rPr>
                <w:sz w:val="17"/>
              </w:rPr>
              <w:t>Grievance logged</w:t>
            </w:r>
          </w:p>
        </w:tc>
        <w:tc>
          <w:tcPr>
            <w:tcW w:type="dxa" w:w="1872"/>
            <w:shd w:val="clear" w:color="auto" w:fill="EAF1F6"/>
            <w:tcMar>
              <w:top w:w="60" w:type="dxa"/>
              <w:left w:w="110" w:type="dxa"/>
              <w:bottom w:w="60" w:type="dxa"/>
              <w:right w:w="110" w:type="dxa"/>
            </w:tcMar>
            <w:vAlign w:val="top"/>
          </w:tcPr>
          <w:p>
            <w:pPr>
              <w:spacing w:after="20"/>
            </w:pPr>
            <w:r>
              <w:rPr>
                <w:sz w:val="17"/>
              </w:rPr>
              <w:t>30 days</w:t>
            </w:r>
          </w:p>
        </w:tc>
        <w:tc>
          <w:tcPr>
            <w:tcW w:type="dxa" w:w="2304"/>
            <w:shd w:val="clear" w:color="auto" w:fill="EAF1F6"/>
            <w:tcMar>
              <w:top w:w="60" w:type="dxa"/>
              <w:left w:w="110" w:type="dxa"/>
              <w:bottom w:w="60" w:type="dxa"/>
              <w:right w:w="110" w:type="dxa"/>
            </w:tcMar>
            <w:vAlign w:val="top"/>
          </w:tcPr>
          <w:p>
            <w:pPr>
              <w:spacing w:after="20"/>
            </w:pPr>
            <w:r>
              <w:rPr>
                <w:sz w:val="17"/>
              </w:rPr>
              <w:t>RBI directions</w:t>
            </w:r>
          </w:p>
        </w:tc>
      </w:tr>
    </w:tbl>
    <w:p>
      <w:pPr>
        <w:spacing w:after="40"/>
      </w:pPr>
    </w:p>
    <w:p>
      <w:pPr>
        <w:pStyle w:val="Heading1"/>
      </w:pPr>
      <w:r>
        <w:t>15. Fairness &amp; Due-Process Controls</w:t>
      </w:r>
    </w:p>
    <w:p>
      <w:pPr>
        <w:pStyle w:val="ListBullet"/>
      </w:pPr>
      <w:r>
        <w:t>Equality of arms — symmetric access to submissions, sessions and time; imbalance prompts to the neutral.</w:t>
      </w:r>
    </w:p>
    <w:p>
      <w:pPr>
        <w:pStyle w:val="ListBullet"/>
      </w:pPr>
      <w:r>
        <w:t>Right to be heard — notice adequacy checks and acknowledgement capture before adverse steps.</w:t>
      </w:r>
    </w:p>
    <w:p>
      <w:pPr>
        <w:pStyle w:val="ListBullet"/>
      </w:pPr>
      <w:r>
        <w:t>Reasoned outcomes — awards carry reasons; settlements record informed consent.</w:t>
      </w:r>
    </w:p>
    <w:p>
      <w:pPr>
        <w:pStyle w:val="ListBullet"/>
      </w:pPr>
      <w:r>
        <w:t>Internal review — a defined, time-bound internal review path alongside judicial review, logged.</w:t>
      </w:r>
    </w:p>
    <w:p>
      <w:pPr>
        <w:pStyle w:val="ListBullet"/>
      </w:pPr>
      <w:r>
        <w:t>On-platform communication — case communications occur on-platform for fairness, privacy and fraud protection.</w:t>
      </w:r>
    </w:p>
    <w:p>
      <w:pPr>
        <w:pStyle w:val="Heading1"/>
      </w:pPr>
      <w:r>
        <w:t>16. Engine Data &amp; Events (pointer)</w:t>
      </w:r>
    </w:p>
    <w:p>
      <w:pPr>
        <w:spacing w:after="120"/>
      </w:pPr>
      <w:r>
        <w:rPr>
          <w:b w:val="0"/>
        </w:rPr>
        <w:t>The engine's tables (proceedings, sessions, orders, evidence_items, custody_log, service_attempts, settlements, awards, execution_bundles, compliance_clock) and the domain events they emit are specified field-level in EQR-12. Every state transition in EQR-01 §6.4 maps to one or more events consumed by notice, finance, analytics and integration services.</w:t>
      </w:r>
    </w:p>
    <w:p>
      <w:pPr>
        <w:spacing w:after="120"/>
      </w:pPr>
      <w:r>
        <w:rPr>
          <w:b w:val="0"/>
          <w:color w:val="5A6B7B"/>
          <w:sz w:val="18"/>
        </w:rPr>
        <w:t>End of EQR-02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