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C · PRODUCT &amp; PROCESS</w:t>
      </w:r>
    </w:p>
    <w:p>
      <w:pPr>
        <w:pStyle w:val="Title"/>
        <w:pBdr>
          <w:bottom w:val="single" w:sz="20" w:space="6" w:color="B98A2E"/>
        </w:pBdr>
      </w:pPr>
      <w:r>
        <w:t>Dispute Modules Compendium</w:t>
      </w:r>
    </w:p>
    <w:p>
      <w:pPr>
        <w:spacing w:after="280"/>
      </w:pPr>
      <w:r>
        <w:rPr>
          <w:i/>
          <w:color w:val="5A6B7B"/>
          <w:sz w:val="25"/>
        </w:rPr>
        <w:t>Separate, self-contained modules for each type of dispute Equator Resolution handles — the scope, the resolution pathway, the governing law, the forms, the remedies for each side, and how the outcome is executed.</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EQR-03</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Dispute Modules Compendium</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Head of ODR / Legal-Ops</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Companions</w:t>
            </w:r>
          </w:p>
        </w:tc>
        <w:tc>
          <w:tcPr>
            <w:tcW w:type="dxa" w:w="6480"/>
            <w:shd w:val="clear" w:color="auto" w:fill="EAF1F6"/>
            <w:tcMar>
              <w:top w:w="60" w:type="dxa"/>
              <w:left w:w="110" w:type="dxa"/>
              <w:bottom w:w="60" w:type="dxa"/>
              <w:right w:w="110" w:type="dxa"/>
            </w:tcMar>
            <w:vAlign w:val="top"/>
          </w:tcPr>
          <w:p>
            <w:pPr>
              <w:spacing w:after="20"/>
            </w:pPr>
            <w:r>
              <w:rPr>
                <w:sz w:val="19"/>
              </w:rPr>
              <w:t>EQR-02 (engine) · EQR-04 (law &amp; enforcement) · EQR-12 (module forms) · EQR-06 (enterprise)</w:t>
            </w:r>
          </w:p>
        </w:tc>
      </w:tr>
      <w:tr>
        <w:tc>
          <w:tcPr>
            <w:tcW w:type="dxa" w:w="2880"/>
            <w:tcMar>
              <w:top w:w="60" w:type="dxa"/>
              <w:left w:w="110" w:type="dxa"/>
              <w:bottom w:w="60" w:type="dxa"/>
              <w:right w:w="110" w:type="dxa"/>
            </w:tcMar>
            <w:vAlign w:val="top"/>
          </w:tcPr>
          <w:p>
            <w:pPr>
              <w:spacing w:after="20"/>
            </w:pPr>
            <w:r>
              <w:rPr>
                <w:b/>
                <w:sz w:val="19"/>
              </w:rPr>
              <w:t>Caveat</w:t>
            </w:r>
          </w:p>
        </w:tc>
        <w:tc>
          <w:tcPr>
            <w:tcW w:type="dxa" w:w="6480"/>
            <w:tcMar>
              <w:top w:w="60" w:type="dxa"/>
              <w:left w:w="110" w:type="dxa"/>
              <w:bottom w:w="60" w:type="dxa"/>
              <w:right w:w="110" w:type="dxa"/>
            </w:tcMar>
            <w:vAlign w:val="top"/>
          </w:tcPr>
          <w:p>
            <w:pPr>
              <w:spacing w:after="20"/>
            </w:pPr>
            <w:r>
              <w:rPr>
                <w:sz w:val="19"/>
              </w:rPr>
              <w:t>Describes platform behaviour; not legal advice for any specific matter.</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How to Read This Compendium</w:t>
      </w:r>
    </w:p>
    <w:p>
      <w:pPr>
        <w:spacing w:after="120"/>
      </w:pPr>
      <w:r>
        <w:rPr>
          <w:b w:val="0"/>
        </w:rPr>
        <w:t>Each module below is a self-contained specification for one dispute type. A module is a configuration of the common engine (EQR-02): a pathway, a ruleset, a set of forms, a confidentiality tier and an execution route. Building a new dispute type means adding a module, not changing the engine. Every module follows the same template so product, legal and engineering read them the same way.</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8"/>
              </w:rPr>
              <w:t>Section</w:t>
            </w:r>
          </w:p>
        </w:tc>
        <w:tc>
          <w:tcPr>
            <w:tcW w:type="dxa" w:w="7056"/>
            <w:shd w:val="clear" w:color="auto" w:fill="0B2E4F"/>
            <w:tcMar>
              <w:top w:w="60" w:type="dxa"/>
              <w:left w:w="110" w:type="dxa"/>
              <w:bottom w:w="60" w:type="dxa"/>
              <w:right w:w="110" w:type="dxa"/>
            </w:tcMar>
            <w:vAlign w:val="center"/>
          </w:tcPr>
          <w:p>
            <w:pPr>
              <w:spacing w:after="20"/>
            </w:pPr>
            <w:r>
              <w:rPr>
                <w:b/>
                <w:color w:val="FFFFFF"/>
                <w:sz w:val="18"/>
              </w:rPr>
              <w:t>What it contains</w:t>
            </w:r>
          </w:p>
        </w:tc>
      </w:tr>
      <w:tr>
        <w:tc>
          <w:tcPr>
            <w:tcW w:type="dxa" w:w="2304"/>
            <w:tcMar>
              <w:top w:w="60" w:type="dxa"/>
              <w:left w:w="110" w:type="dxa"/>
              <w:bottom w:w="60" w:type="dxa"/>
              <w:right w:w="110" w:type="dxa"/>
            </w:tcMar>
            <w:vAlign w:val="top"/>
          </w:tcPr>
          <w:p>
            <w:pPr>
              <w:spacing w:after="20"/>
            </w:pPr>
            <w:r>
              <w:rPr>
                <w:b/>
                <w:sz w:val="18"/>
              </w:rPr>
              <w:t>Scope</w:t>
            </w:r>
          </w:p>
        </w:tc>
        <w:tc>
          <w:tcPr>
            <w:tcW w:type="dxa" w:w="7056"/>
            <w:tcMar>
              <w:top w:w="60" w:type="dxa"/>
              <w:left w:w="110" w:type="dxa"/>
              <w:bottom w:w="60" w:type="dxa"/>
              <w:right w:w="110" w:type="dxa"/>
            </w:tcMar>
            <w:vAlign w:val="top"/>
          </w:tcPr>
          <w:p>
            <w:pPr>
              <w:spacing w:after="20"/>
            </w:pPr>
            <w:r>
              <w:rPr>
                <w:sz w:val="18"/>
              </w:rPr>
              <w:t>What the module covers and what it explicitly excludes.</w:t>
            </w:r>
          </w:p>
        </w:tc>
      </w:tr>
      <w:tr>
        <w:tc>
          <w:tcPr>
            <w:tcW w:type="dxa" w:w="2304"/>
            <w:shd w:val="clear" w:color="auto" w:fill="EAF1F6"/>
            <w:tcMar>
              <w:top w:w="60" w:type="dxa"/>
              <w:left w:w="110" w:type="dxa"/>
              <w:bottom w:w="60" w:type="dxa"/>
              <w:right w:w="110" w:type="dxa"/>
            </w:tcMar>
            <w:vAlign w:val="top"/>
          </w:tcPr>
          <w:p>
            <w:pPr>
              <w:spacing w:after="20"/>
            </w:pPr>
            <w:r>
              <w:rPr>
                <w:b/>
                <w:sz w:val="18"/>
              </w:rPr>
              <w:t>Pathway</w:t>
            </w:r>
          </w:p>
        </w:tc>
        <w:tc>
          <w:tcPr>
            <w:tcW w:type="dxa" w:w="7056"/>
            <w:shd w:val="clear" w:color="auto" w:fill="EAF1F6"/>
            <w:tcMar>
              <w:top w:w="60" w:type="dxa"/>
              <w:left w:w="110" w:type="dxa"/>
              <w:bottom w:w="60" w:type="dxa"/>
              <w:right w:w="110" w:type="dxa"/>
            </w:tcMar>
            <w:vAlign w:val="top"/>
          </w:tcPr>
          <w:p>
            <w:pPr>
              <w:spacing w:after="20"/>
            </w:pPr>
            <w:r>
              <w:rPr>
                <w:sz w:val="18"/>
              </w:rPr>
              <w:t>Entry rung, sequence and escalation on the resolution ladder.</w:t>
            </w:r>
          </w:p>
        </w:tc>
      </w:tr>
      <w:tr>
        <w:tc>
          <w:tcPr>
            <w:tcW w:type="dxa" w:w="2304"/>
            <w:tcMar>
              <w:top w:w="60" w:type="dxa"/>
              <w:left w:w="110" w:type="dxa"/>
              <w:bottom w:w="60" w:type="dxa"/>
              <w:right w:w="110" w:type="dxa"/>
            </w:tcMar>
            <w:vAlign w:val="top"/>
          </w:tcPr>
          <w:p>
            <w:pPr>
              <w:spacing w:after="20"/>
            </w:pPr>
            <w:r>
              <w:rPr>
                <w:b/>
                <w:sz w:val="18"/>
              </w:rPr>
              <w:t>Governing law</w:t>
            </w:r>
          </w:p>
        </w:tc>
        <w:tc>
          <w:tcPr>
            <w:tcW w:type="dxa" w:w="7056"/>
            <w:tcMar>
              <w:top w:w="60" w:type="dxa"/>
              <w:left w:w="110" w:type="dxa"/>
              <w:bottom w:w="60" w:type="dxa"/>
              <w:right w:w="110" w:type="dxa"/>
            </w:tcMar>
            <w:vAlign w:val="top"/>
          </w:tcPr>
          <w:p>
            <w:pPr>
              <w:spacing w:after="20"/>
            </w:pPr>
            <w:r>
              <w:rPr>
                <w:sz w:val="18"/>
              </w:rPr>
              <w:t>The statutes and rules the module encodes (detail in EQR-04).</w:t>
            </w:r>
          </w:p>
        </w:tc>
      </w:tr>
      <w:tr>
        <w:tc>
          <w:tcPr>
            <w:tcW w:type="dxa" w:w="2304"/>
            <w:shd w:val="clear" w:color="auto" w:fill="EAF1F6"/>
            <w:tcMar>
              <w:top w:w="60" w:type="dxa"/>
              <w:left w:w="110" w:type="dxa"/>
              <w:bottom w:w="60" w:type="dxa"/>
              <w:right w:w="110" w:type="dxa"/>
            </w:tcMar>
            <w:vAlign w:val="top"/>
          </w:tcPr>
          <w:p>
            <w:pPr>
              <w:spacing w:after="20"/>
            </w:pPr>
            <w:r>
              <w:rPr>
                <w:b/>
                <w:sz w:val="18"/>
              </w:rPr>
              <w:t>Forms</w:t>
            </w:r>
          </w:p>
        </w:tc>
        <w:tc>
          <w:tcPr>
            <w:tcW w:type="dxa" w:w="7056"/>
            <w:shd w:val="clear" w:color="auto" w:fill="EAF1F6"/>
            <w:tcMar>
              <w:top w:w="60" w:type="dxa"/>
              <w:left w:w="110" w:type="dxa"/>
              <w:bottom w:w="60" w:type="dxa"/>
              <w:right w:w="110" w:type="dxa"/>
            </w:tcMar>
            <w:vAlign w:val="top"/>
          </w:tcPr>
          <w:p>
            <w:pPr>
              <w:spacing w:after="20"/>
            </w:pPr>
            <w:r>
              <w:rPr>
                <w:sz w:val="18"/>
              </w:rPr>
              <w:t>The intake/response/outcome forms (field-level in EQR-12).</w:t>
            </w:r>
          </w:p>
        </w:tc>
      </w:tr>
      <w:tr>
        <w:tc>
          <w:tcPr>
            <w:tcW w:type="dxa" w:w="2304"/>
            <w:tcMar>
              <w:top w:w="60" w:type="dxa"/>
              <w:left w:w="110" w:type="dxa"/>
              <w:bottom w:w="60" w:type="dxa"/>
              <w:right w:w="110" w:type="dxa"/>
            </w:tcMar>
            <w:vAlign w:val="top"/>
          </w:tcPr>
          <w:p>
            <w:pPr>
              <w:spacing w:after="20"/>
            </w:pPr>
            <w:r>
              <w:rPr>
                <w:b/>
                <w:sz w:val="18"/>
              </w:rPr>
              <w:t>Remedies (both sides)</w:t>
            </w:r>
          </w:p>
        </w:tc>
        <w:tc>
          <w:tcPr>
            <w:tcW w:type="dxa" w:w="7056"/>
            <w:tcMar>
              <w:top w:w="60" w:type="dxa"/>
              <w:left w:w="110" w:type="dxa"/>
              <w:bottom w:w="60" w:type="dxa"/>
              <w:right w:w="110" w:type="dxa"/>
            </w:tcMar>
            <w:vAlign w:val="top"/>
          </w:tcPr>
          <w:p>
            <w:pPr>
              <w:spacing w:after="20"/>
            </w:pPr>
            <w:r>
              <w:rPr>
                <w:sz w:val="18"/>
              </w:rPr>
              <w:t>What each party can seek and what the neutral can grant.</w:t>
            </w:r>
          </w:p>
        </w:tc>
      </w:tr>
      <w:tr>
        <w:tc>
          <w:tcPr>
            <w:tcW w:type="dxa" w:w="2304"/>
            <w:shd w:val="clear" w:color="auto" w:fill="EAF1F6"/>
            <w:tcMar>
              <w:top w:w="60" w:type="dxa"/>
              <w:left w:w="110" w:type="dxa"/>
              <w:bottom w:w="60" w:type="dxa"/>
              <w:right w:w="110" w:type="dxa"/>
            </w:tcMar>
            <w:vAlign w:val="top"/>
          </w:tcPr>
          <w:p>
            <w:pPr>
              <w:spacing w:after="20"/>
            </w:pPr>
            <w:r>
              <w:rPr>
                <w:b/>
                <w:sz w:val="18"/>
              </w:rPr>
              <w:t>Execution</w:t>
            </w:r>
          </w:p>
        </w:tc>
        <w:tc>
          <w:tcPr>
            <w:tcW w:type="dxa" w:w="7056"/>
            <w:shd w:val="clear" w:color="auto" w:fill="EAF1F6"/>
            <w:tcMar>
              <w:top w:w="60" w:type="dxa"/>
              <w:left w:w="110" w:type="dxa"/>
              <w:bottom w:w="60" w:type="dxa"/>
              <w:right w:w="110" w:type="dxa"/>
            </w:tcMar>
            <w:vAlign w:val="top"/>
          </w:tcPr>
          <w:p>
            <w:pPr>
              <w:spacing w:after="20"/>
            </w:pPr>
            <w:r>
              <w:rPr>
                <w:sz w:val="18"/>
              </w:rPr>
              <w:t>How the outcome is enforced.</w:t>
            </w:r>
          </w:p>
        </w:tc>
      </w:tr>
      <w:tr>
        <w:tc>
          <w:tcPr>
            <w:tcW w:type="dxa" w:w="2304"/>
            <w:tcMar>
              <w:top w:w="60" w:type="dxa"/>
              <w:left w:w="110" w:type="dxa"/>
              <w:bottom w:w="60" w:type="dxa"/>
              <w:right w:w="110" w:type="dxa"/>
            </w:tcMar>
            <w:vAlign w:val="top"/>
          </w:tcPr>
          <w:p>
            <w:pPr>
              <w:spacing w:after="20"/>
            </w:pPr>
            <w:r>
              <w:rPr>
                <w:b/>
                <w:sz w:val="18"/>
              </w:rPr>
              <w:t>Signature features</w:t>
            </w:r>
          </w:p>
        </w:tc>
        <w:tc>
          <w:tcPr>
            <w:tcW w:type="dxa" w:w="7056"/>
            <w:tcMar>
              <w:top w:w="60" w:type="dxa"/>
              <w:left w:w="110" w:type="dxa"/>
              <w:bottom w:w="60" w:type="dxa"/>
              <w:right w:w="110" w:type="dxa"/>
            </w:tcMar>
            <w:vAlign w:val="top"/>
          </w:tcPr>
          <w:p>
            <w:pPr>
              <w:spacing w:after="20"/>
            </w:pPr>
            <w:r>
              <w:rPr>
                <w:sz w:val="18"/>
              </w:rPr>
              <w:t>What differentiates this module in-product.</w:t>
            </w:r>
          </w:p>
        </w:tc>
      </w:tr>
    </w:tbl>
    <w:p>
      <w:pPr>
        <w:spacing w:after="40"/>
      </w:pPr>
    </w:p>
    <w:p>
      <w:pPr>
        <w:pStyle w:val="Heading1"/>
      </w:pPr>
      <w:r>
        <w:t>2. Module — Family &amp; Matrimonial</w:t>
      </w:r>
    </w:p>
    <w:p>
      <w:pPr>
        <w:spacing w:before="80" w:after="160"/>
        <w:jc w:val="center"/>
      </w:pPr>
      <w:r>
        <w:rPr>
          <w:b/>
          <w:i/>
          <w:color w:val="1F7A8C"/>
          <w:sz w:val="24"/>
        </w:rPr>
        <w:t>Preserve the relationship where possible; protect the vulnerable always.</w:t>
      </w:r>
    </w:p>
    <w:p>
      <w:pPr>
        <w:pStyle w:val="Heading2"/>
      </w:pPr>
      <w:r>
        <w:t>2.1 Scope</w:t>
      </w:r>
    </w:p>
    <w:p>
      <w:pPr>
        <w:spacing w:after="120"/>
      </w:pPr>
      <w:r>
        <w:rPr>
          <w:b w:val="0"/>
        </w:rPr>
        <w:t>Divorce terms, maintenance/alimony, child custody and parenting plans, guardianship, matrimonial property and asset/debt division, restitution and related settlements — including NRI and cross-border marriages. Excludes: adjudication of the status of marriage and custody as arbitrable subjects (non-arbitrable in India — encoded as flags).</w:t>
      </w:r>
    </w:p>
    <w:p>
      <w:pPr>
        <w:pStyle w:val="Heading2"/>
      </w:pPr>
      <w:r>
        <w:t>2.2 Pathway &amp; law</w:t>
      </w:r>
    </w:p>
    <w:p>
      <w:pPr>
        <w:pStyle w:val="ListBullet"/>
      </w:pPr>
      <w:r>
        <w:rPr>
          <w:b/>
        </w:rPr>
        <w:t xml:space="preserve">Primary mechanism: </w:t>
      </w:r>
      <w:r>
        <w:t>Mediation/conciliation (relationship-preserving, child-sensitive); arbitration only for clearly arbitrable monetisable sub-issues with consent.</w:t>
      </w:r>
    </w:p>
    <w:p>
      <w:pPr>
        <w:pStyle w:val="ListBullet"/>
      </w:pPr>
      <w:r>
        <w:rPr>
          <w:b/>
        </w:rPr>
        <w:t xml:space="preserve">Governing law: </w:t>
      </w:r>
      <w:r>
        <w:t>Mediation Act 2023; Family Courts Act 1984 (s.9 duty to attempt settlement); Hindu Marriage Act / Special Marriage Act / personal laws; Guardians and Wards Act; Protection of Women from Domestic Violence Act 2005 (referrals).</w:t>
      </w:r>
    </w:p>
    <w:p>
      <w:pPr>
        <w:pStyle w:val="ListBullet"/>
      </w:pPr>
      <w:r>
        <w:rPr>
          <w:b/>
        </w:rPr>
        <w:t xml:space="preserve">Clocks: </w:t>
      </w:r>
      <w:r>
        <w:t>Mediation 120 (+60) days; sensitivity flags may pause clocks for counselling.</w:t>
      </w:r>
    </w:p>
    <w:p>
      <w:pPr>
        <w:pStyle w:val="Heading2"/>
      </w:pPr>
      <w:r>
        <w:t>2.3 Forms &amp; features</w:t>
      </w:r>
    </w:p>
    <w:p>
      <w:pPr>
        <w:pStyle w:val="ListBullet"/>
      </w:pPr>
      <w:r>
        <w:t>Forms: F-Family Intake (marriage details, issues, children, sensitive flags), MSA/parenting-plan capture, maintenance schedule.</w:t>
      </w:r>
    </w:p>
    <w:p>
      <w:pPr>
        <w:pStyle w:val="ListBullet"/>
      </w:pPr>
      <w:r>
        <w:t>Parenting-plan builder with custody/visitation templates; confidential caucus; optional counsellor/child-specialist participant.</w:t>
      </w:r>
    </w:p>
    <w:p>
      <w:pPr>
        <w:pStyle w:val="ListBullet"/>
      </w:pPr>
      <w:r>
        <w:t>Heightened confidentiality tier; identity field-encryption; strict need-to-know.</w:t>
      </w:r>
    </w:p>
    <w:p>
      <w:pPr>
        <w:pStyle w:val="Heading2"/>
      </w:pPr>
      <w:r>
        <w:t>2.4 Remedies (both sides) &amp; execution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7"/>
              </w:rPr>
              <w:t>Seeking party</w:t>
            </w:r>
          </w:p>
        </w:tc>
        <w:tc>
          <w:tcPr>
            <w:tcW w:type="dxa" w:w="4896"/>
            <w:shd w:val="clear" w:color="auto" w:fill="0B2E4F"/>
            <w:tcMar>
              <w:top w:w="60" w:type="dxa"/>
              <w:left w:w="110" w:type="dxa"/>
              <w:bottom w:w="60" w:type="dxa"/>
              <w:right w:w="110" w:type="dxa"/>
            </w:tcMar>
            <w:vAlign w:val="center"/>
          </w:tcPr>
          <w:p>
            <w:pPr>
              <w:spacing w:after="20"/>
            </w:pPr>
            <w:r>
              <w:rPr>
                <w:b/>
                <w:color w:val="FFFFFF"/>
                <w:sz w:val="17"/>
              </w:rPr>
              <w:t>Typical reliefs</w:t>
            </w:r>
          </w:p>
        </w:tc>
        <w:tc>
          <w:tcPr>
            <w:tcW w:type="dxa" w:w="2448"/>
            <w:shd w:val="clear" w:color="auto" w:fill="0B2E4F"/>
            <w:tcMar>
              <w:top w:w="60" w:type="dxa"/>
              <w:left w:w="110" w:type="dxa"/>
              <w:bottom w:w="60" w:type="dxa"/>
              <w:right w:w="110" w:type="dxa"/>
            </w:tcMar>
            <w:vAlign w:val="center"/>
          </w:tcPr>
          <w:p>
            <w:pPr>
              <w:spacing w:after="20"/>
            </w:pPr>
            <w:r>
              <w:rPr>
                <w:b/>
                <w:color w:val="FFFFFF"/>
                <w:sz w:val="17"/>
              </w:rPr>
              <w:t>Responding party</w:t>
            </w:r>
          </w:p>
        </w:tc>
      </w:tr>
      <w:tr>
        <w:tc>
          <w:tcPr>
            <w:tcW w:type="dxa" w:w="2016"/>
            <w:tcMar>
              <w:top w:w="60" w:type="dxa"/>
              <w:left w:w="110" w:type="dxa"/>
              <w:bottom w:w="60" w:type="dxa"/>
              <w:right w:w="110" w:type="dxa"/>
            </w:tcMar>
            <w:vAlign w:val="top"/>
          </w:tcPr>
          <w:p>
            <w:pPr>
              <w:spacing w:after="20"/>
            </w:pPr>
            <w:r>
              <w:rPr>
                <w:b/>
                <w:sz w:val="17"/>
              </w:rPr>
              <w:t>Spouse A</w:t>
            </w:r>
          </w:p>
        </w:tc>
        <w:tc>
          <w:tcPr>
            <w:tcW w:type="dxa" w:w="4896"/>
            <w:tcMar>
              <w:top w:w="60" w:type="dxa"/>
              <w:left w:w="110" w:type="dxa"/>
              <w:bottom w:w="60" w:type="dxa"/>
              <w:right w:w="110" w:type="dxa"/>
            </w:tcMar>
            <w:vAlign w:val="top"/>
          </w:tcPr>
          <w:p>
            <w:pPr>
              <w:spacing w:after="20"/>
            </w:pPr>
            <w:r>
              <w:rPr>
                <w:sz w:val="17"/>
              </w:rPr>
              <w:t>Divorce by mutual consent terms, maintenance, custody/visitation, property division</w:t>
            </w:r>
          </w:p>
        </w:tc>
        <w:tc>
          <w:tcPr>
            <w:tcW w:type="dxa" w:w="2448"/>
            <w:tcMar>
              <w:top w:w="60" w:type="dxa"/>
              <w:left w:w="110" w:type="dxa"/>
              <w:bottom w:w="60" w:type="dxa"/>
              <w:right w:w="110" w:type="dxa"/>
            </w:tcMar>
            <w:vAlign w:val="top"/>
          </w:tcPr>
          <w:p>
            <w:pPr>
              <w:spacing w:after="20"/>
            </w:pPr>
            <w:r>
              <w:rPr>
                <w:sz w:val="17"/>
              </w:rPr>
              <w:t>Spouse B — counter-terms, access, set-off, interim maintenance</w:t>
            </w:r>
          </w:p>
        </w:tc>
      </w:tr>
      <w:tr>
        <w:tc>
          <w:tcPr>
            <w:tcW w:type="dxa" w:w="2016"/>
            <w:shd w:val="clear" w:color="auto" w:fill="EAF1F6"/>
            <w:tcMar>
              <w:top w:w="60" w:type="dxa"/>
              <w:left w:w="110" w:type="dxa"/>
              <w:bottom w:w="60" w:type="dxa"/>
              <w:right w:w="110" w:type="dxa"/>
            </w:tcMar>
            <w:vAlign w:val="top"/>
          </w:tcPr>
          <w:p>
            <w:pPr>
              <w:spacing w:after="20"/>
            </w:pPr>
            <w:r>
              <w:rPr>
                <w:b/>
                <w:sz w:val="17"/>
              </w:rPr>
              <w:t>Either</w:t>
            </w:r>
          </w:p>
        </w:tc>
        <w:tc>
          <w:tcPr>
            <w:tcW w:type="dxa" w:w="4896"/>
            <w:shd w:val="clear" w:color="auto" w:fill="EAF1F6"/>
            <w:tcMar>
              <w:top w:w="60" w:type="dxa"/>
              <w:left w:w="110" w:type="dxa"/>
              <w:bottom w:w="60" w:type="dxa"/>
              <w:right w:w="110" w:type="dxa"/>
            </w:tcMar>
            <w:vAlign w:val="top"/>
          </w:tcPr>
          <w:p>
            <w:pPr>
              <w:spacing w:after="20"/>
            </w:pPr>
            <w:r>
              <w:rPr>
                <w:sz w:val="17"/>
              </w:rPr>
              <w:t>Interim arrangements pending final settlement</w:t>
            </w:r>
          </w:p>
        </w:tc>
        <w:tc>
          <w:tcPr>
            <w:tcW w:type="dxa" w:w="2448"/>
            <w:shd w:val="clear" w:color="auto" w:fill="EAF1F6"/>
            <w:tcMar>
              <w:top w:w="60" w:type="dxa"/>
              <w:left w:w="110" w:type="dxa"/>
              <w:bottom w:w="60" w:type="dxa"/>
              <w:right w:w="110" w:type="dxa"/>
            </w:tcMar>
            <w:vAlign w:val="top"/>
          </w:tcPr>
          <w:p>
            <w:pPr>
              <w:spacing w:after="20"/>
            </w:pPr>
            <w:r>
              <w:rPr>
                <w:sz w:val="17"/>
              </w:rPr>
              <w:t>Either — variation on change of circumstances</w:t>
            </w:r>
          </w:p>
        </w:tc>
      </w:tr>
    </w:tbl>
    <w:p>
      <w:pPr>
        <w:spacing w:after="40"/>
      </w:pPr>
    </w:p>
    <w:p>
      <w:pPr>
        <w:spacing w:after="120"/>
      </w:pPr>
      <w:r>
        <w:rPr>
          <w:b w:val="0"/>
        </w:rPr>
        <w:t>Execution: the MSA is enforceable under s.27 Mediation Act 2023 as a decree; consent terms may be placed before the family court where required for divorce. Cross-border/NRI: coordinate governing law and enforcement in the relevant jurisdiction; package per applicable convention.</w:t>
      </w:r>
    </w:p>
    <w:p>
      <w:pPr>
        <w:pStyle w:val="Heading1"/>
      </w:pPr>
      <w:r>
        <w:t>3. Module — NBFC ↔ Borrower</w:t>
      </w:r>
    </w:p>
    <w:p>
      <w:pPr>
        <w:spacing w:before="80" w:after="160"/>
        <w:jc w:val="center"/>
      </w:pPr>
      <w:r>
        <w:rPr>
          <w:b/>
          <w:i/>
          <w:color w:val="1F7A8C"/>
          <w:sz w:val="24"/>
        </w:rPr>
        <w:t>Mandated volume, resolved with the lowest friction.</w:t>
      </w:r>
    </w:p>
    <w:p>
      <w:pPr>
        <w:pStyle w:val="Heading2"/>
      </w:pPr>
      <w:r>
        <w:t>3.1 Scope &amp; law</w:t>
      </w:r>
    </w:p>
    <w:p>
      <w:pPr>
        <w:spacing w:after="120"/>
      </w:pPr>
      <w:r>
        <w:rPr>
          <w:b w:val="0"/>
        </w:rPr>
        <w:t>Defaulted or disputed retail and MSME loans, digital-lending grievances, repayment and settlement disputes between NBFCs/lenders/LSPs and borrowers. Governed by the A&amp;C Act 1996 (arbitration), the Mediation Act 2023 (mediation), RBI Digital Lending Directions (grievance duties; 30-day SLA), and RBI/NPCI ODR mandates for payment disputes.</w:t>
      </w:r>
    </w:p>
    <w:p>
      <w:pPr>
        <w:pStyle w:val="Heading2"/>
      </w:pPr>
      <w:r>
        <w:t>3.2 Pathway</w:t>
      </w:r>
    </w:p>
    <w:p>
      <w:pPr>
        <w:pStyle w:val="ListBullet"/>
      </w:pPr>
      <w:r>
        <w:rPr>
          <w:b/>
        </w:rPr>
        <w:t xml:space="preserve">Ladder: </w:t>
      </w:r>
      <w:r>
        <w:t>Conciliation first (often a free window), then mediation or arbitration — modelled on the SEBI SMART-ODR escalation ladder.</w:t>
      </w:r>
    </w:p>
    <w:p>
      <w:pPr>
        <w:pStyle w:val="ListBullet"/>
      </w:pPr>
      <w:r>
        <w:rPr>
          <w:b/>
        </w:rPr>
        <w:t xml:space="preserve">Volume design: </w:t>
      </w:r>
      <w:r>
        <w:t>Bulk intake (CSV/API) of disputed loans; clause-driven auto-initiation; round-robin allocation; templated notices and awards.</w:t>
      </w:r>
    </w:p>
    <w:p>
      <w:pPr>
        <w:pStyle w:val="ListBullet"/>
      </w:pPr>
      <w:r>
        <w:rPr>
          <w:b/>
        </w:rPr>
        <w:t xml:space="preserve">RBI alignment: </w:t>
      </w:r>
      <w:r>
        <w:t>Pre-agreed dispute-resolution clause in the loan agreement; nodal-officer intake; 30-day grievance SLA; escalation visibility to RBI CMS; borrower-consent and data-localisation logging.</w:t>
      </w:r>
    </w:p>
    <w:p>
      <w:pPr>
        <w:pStyle w:val="Heading2"/>
      </w:pPr>
      <w:r>
        <w:t>3.3 Forms, remedies &amp; execution</w:t>
      </w:r>
    </w:p>
    <w:p>
      <w:pPr>
        <w:pStyle w:val="ListBullet"/>
      </w:pPr>
      <w:r>
        <w:t>Forms: NBFC Bulk Intake (loan ID, borrower, amount, default details, clause, contact); settlement/instalment schedule; award drafting.</w:t>
      </w:r>
    </w:p>
    <w:p>
      <w:pPr>
        <w:pStyle w:val="ListBullet"/>
      </w:pPr>
      <w:r>
        <w:t>Remedies: lender — recovery, settlement plan, award; borrower — restructuring, waiver of charges, grievance redress, hardship terms.</w:t>
      </w:r>
    </w:p>
    <w:p>
      <w:pPr>
        <w:pStyle w:val="ListBullet"/>
      </w:pPr>
      <w:r>
        <w:t>Execution: award under s.36 A&amp;C Act; settlement schedule linked to escrow/payment; breach re-opens escalation. Integrates with the enterprise grievance/escalation layer (EQR-06).</w:t>
      </w:r>
    </w:p>
    <w:p>
      <w:pPr>
        <w:pStyle w:val="Heading1"/>
      </w:pPr>
      <w:r>
        <w:t>4. Module — Commercial &amp; MSME</w:t>
      </w:r>
    </w:p>
    <w:p>
      <w:pPr>
        <w:spacing w:before="80" w:after="160"/>
        <w:jc w:val="center"/>
      </w:pPr>
      <w:r>
        <w:rPr>
          <w:b/>
          <w:i/>
          <w:color w:val="1F7A8C"/>
          <w:sz w:val="24"/>
        </w:rPr>
        <w:t>From contract to closure — arbitrable disputes, resolved online.</w:t>
      </w:r>
    </w:p>
    <w:p>
      <w:pPr>
        <w:pStyle w:val="Heading2"/>
      </w:pPr>
      <w:r>
        <w:t>4.1 Scope &amp; law</w:t>
      </w:r>
    </w:p>
    <w:p>
      <w:pPr>
        <w:spacing w:after="120"/>
      </w:pPr>
      <w:r>
        <w:rPr>
          <w:b w:val="0"/>
        </w:rPr>
        <w:t>B2B commercial disputes, contract performance, transactions and deals, MSME delayed payments, services/supply, IP and shareholder matters (where arbitrable). Governed by the A&amp;C Act 1996; Mediation Act 2023; Commercial Courts Act 2015 (s.12A pre-institution mediation); MSMED Act 2006 (s.18 MSEFC route); Companies Act 2013 (arbitrable corporate/contractual matters; note non-arbitrable oppression/mismanagement).</w:t>
      </w:r>
    </w:p>
    <w:p>
      <w:pPr>
        <w:pStyle w:val="Heading2"/>
      </w:pPr>
      <w:r>
        <w:t>4.2 Pathway &amp; the MSME sub-track</w:t>
      </w:r>
    </w:p>
    <w:p>
      <w:pPr>
        <w:pStyle w:val="ListBullet"/>
      </w:pPr>
      <w:r>
        <w:rPr>
          <w:b/>
        </w:rPr>
        <w:t xml:space="preserve">Commercial: </w:t>
      </w:r>
      <w:r>
        <w:t>Mediation and/or arbitration triggered by clauses in contracts, MoUs or T&amp;Cs; clause library and generator; sole or three-member tribunal; reasoned award.</w:t>
      </w:r>
    </w:p>
    <w:p>
      <w:pPr>
        <w:pStyle w:val="ListBullet"/>
      </w:pPr>
      <w:r>
        <w:rPr>
          <w:b/>
        </w:rPr>
        <w:t xml:space="preserve">MSME sub-track: </w:t>
      </w:r>
      <w:r>
        <w:t>Registered supplier route via MSEFC: conciliation→arbitration, 90-day resolution, Samadhaan-style reference; award enforceable under s.36; 75% pre-deposit to challenge (s.19).</w:t>
      </w:r>
    </w:p>
    <w:p>
      <w:pPr>
        <w:pStyle w:val="ListBullet"/>
      </w:pPr>
      <w:r>
        <w:rPr>
          <w:b/>
        </w:rPr>
        <w:t xml:space="preserve">Pre-institution mediation: </w:t>
      </w:r>
      <w:r>
        <w:t>For commercial disputes not requiring urgent interim relief, s.12A Commercial Courts Act mediation is supported as an entry rung.</w:t>
      </w:r>
    </w:p>
    <w:p>
      <w:pPr>
        <w:pStyle w:val="Heading2"/>
      </w:pPr>
      <w:r>
        <w:t>4.3 Forms, remedies &amp; execution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592"/>
            <w:shd w:val="clear" w:color="auto" w:fill="0B2E4F"/>
            <w:tcMar>
              <w:top w:w="60" w:type="dxa"/>
              <w:left w:w="110" w:type="dxa"/>
              <w:bottom w:w="60" w:type="dxa"/>
              <w:right w:w="110" w:type="dxa"/>
            </w:tcMar>
            <w:vAlign w:val="center"/>
          </w:tcPr>
          <w:p>
            <w:pPr>
              <w:spacing w:after="20"/>
            </w:pPr>
            <w:r>
              <w:rPr>
                <w:b/>
                <w:color w:val="FFFFFF"/>
                <w:sz w:val="18"/>
              </w:rPr>
              <w:t>Party</w:t>
            </w:r>
          </w:p>
        </w:tc>
        <w:tc>
          <w:tcPr>
            <w:tcW w:type="dxa" w:w="6768"/>
            <w:shd w:val="clear" w:color="auto" w:fill="0B2E4F"/>
            <w:tcMar>
              <w:top w:w="60" w:type="dxa"/>
              <w:left w:w="110" w:type="dxa"/>
              <w:bottom w:w="60" w:type="dxa"/>
              <w:right w:w="110" w:type="dxa"/>
            </w:tcMar>
            <w:vAlign w:val="center"/>
          </w:tcPr>
          <w:p>
            <w:pPr>
              <w:spacing w:after="20"/>
            </w:pPr>
            <w:r>
              <w:rPr>
                <w:b/>
                <w:color w:val="FFFFFF"/>
                <w:sz w:val="18"/>
              </w:rPr>
              <w:t>Typical reliefs</w:t>
            </w:r>
          </w:p>
        </w:tc>
      </w:tr>
      <w:tr>
        <w:tc>
          <w:tcPr>
            <w:tcW w:type="dxa" w:w="2592"/>
            <w:tcMar>
              <w:top w:w="60" w:type="dxa"/>
              <w:left w:w="110" w:type="dxa"/>
              <w:bottom w:w="60" w:type="dxa"/>
              <w:right w:w="110" w:type="dxa"/>
            </w:tcMar>
            <w:vAlign w:val="top"/>
          </w:tcPr>
          <w:p>
            <w:pPr>
              <w:spacing w:after="20"/>
            </w:pPr>
            <w:r>
              <w:rPr>
                <w:b/>
                <w:sz w:val="18"/>
              </w:rPr>
              <w:t>Claimant / supplier</w:t>
            </w:r>
          </w:p>
        </w:tc>
        <w:tc>
          <w:tcPr>
            <w:tcW w:type="dxa" w:w="6768"/>
            <w:tcMar>
              <w:top w:w="60" w:type="dxa"/>
              <w:left w:w="110" w:type="dxa"/>
              <w:bottom w:w="60" w:type="dxa"/>
              <w:right w:w="110" w:type="dxa"/>
            </w:tcMar>
            <w:vAlign w:val="top"/>
          </w:tcPr>
          <w:p>
            <w:pPr>
              <w:spacing w:after="20"/>
            </w:pPr>
            <w:r>
              <w:rPr>
                <w:sz w:val="18"/>
              </w:rPr>
              <w:t>Payment + interest (MSMED compound interest), damages, specific performance (where arbitrable), declaration</w:t>
            </w:r>
          </w:p>
        </w:tc>
      </w:tr>
      <w:tr>
        <w:tc>
          <w:tcPr>
            <w:tcW w:type="dxa" w:w="2592"/>
            <w:shd w:val="clear" w:color="auto" w:fill="EAF1F6"/>
            <w:tcMar>
              <w:top w:w="60" w:type="dxa"/>
              <w:left w:w="110" w:type="dxa"/>
              <w:bottom w:w="60" w:type="dxa"/>
              <w:right w:w="110" w:type="dxa"/>
            </w:tcMar>
            <w:vAlign w:val="top"/>
          </w:tcPr>
          <w:p>
            <w:pPr>
              <w:spacing w:after="20"/>
            </w:pPr>
            <w:r>
              <w:rPr>
                <w:b/>
                <w:sz w:val="18"/>
              </w:rPr>
              <w:t>Respondent / buyer</w:t>
            </w:r>
          </w:p>
        </w:tc>
        <w:tc>
          <w:tcPr>
            <w:tcW w:type="dxa" w:w="6768"/>
            <w:shd w:val="clear" w:color="auto" w:fill="EAF1F6"/>
            <w:tcMar>
              <w:top w:w="60" w:type="dxa"/>
              <w:left w:w="110" w:type="dxa"/>
              <w:bottom w:w="60" w:type="dxa"/>
              <w:right w:w="110" w:type="dxa"/>
            </w:tcMar>
            <w:vAlign w:val="top"/>
          </w:tcPr>
          <w:p>
            <w:pPr>
              <w:spacing w:after="20"/>
            </w:pPr>
            <w:r>
              <w:rPr>
                <w:sz w:val="18"/>
              </w:rPr>
              <w:t>Set-off, counter-claim, defect/quality defence, extension, instalment settlement</w:t>
            </w:r>
          </w:p>
        </w:tc>
      </w:tr>
    </w:tbl>
    <w:p>
      <w:pPr>
        <w:spacing w:after="40"/>
      </w:pPr>
    </w:p>
    <w:p>
      <w:pPr>
        <w:spacing w:after="120"/>
      </w:pPr>
      <w:r>
        <w:rPr>
          <w:b w:val="0"/>
        </w:rPr>
        <w:t>Execution: arbitral award under s.36 A&amp;C Act; MSA under s.27 Mediation Act; MSEFC award with 75% pre-deposit condition on challenge. Cross-border commercial awards packaged for New York Convention enforcement.</w:t>
      </w:r>
    </w:p>
    <w:p>
      <w:pPr>
        <w:pStyle w:val="Heading1"/>
      </w:pPr>
      <w:r>
        <w:t>5. Module — Enterprise Grievance &amp; POSH</w:t>
      </w:r>
    </w:p>
    <w:p>
      <w:pPr>
        <w:spacing w:before="80" w:after="160"/>
        <w:jc w:val="center"/>
      </w:pPr>
      <w:r>
        <w:rPr>
          <w:b/>
          <w:i/>
          <w:color w:val="1F7A8C"/>
          <w:sz w:val="24"/>
        </w:rPr>
        <w:t>One window in; the right committee out.</w:t>
      </w:r>
    </w:p>
    <w:p>
      <w:pPr>
        <w:pStyle w:val="Heading2"/>
      </w:pPr>
      <w:r>
        <w:t>5.1 Scope &amp; law</w:t>
      </w:r>
    </w:p>
    <w:p>
      <w:pPr>
        <w:spacing w:after="120"/>
      </w:pPr>
      <w:r>
        <w:rPr>
          <w:b w:val="0"/>
        </w:rPr>
        <w:t>Employee-facing internal redressal for companies: general workplace grievances and POSH (sexual-harassment) complaints, with neutral escalation to EDRS where permitted. Governed by the Sexual Harassment of Women at Workplace (Prevention, Prohibition and Redressal) Act 2013 (POSH), company HR policy, labour law, and (for listed entities) stakeholder-grievance obligations. Modelled on SHe-Box single-window routing.</w:t>
      </w:r>
    </w:p>
    <w:p>
      <w:pPr>
        <w:pStyle w:val="Heading2"/>
      </w:pPr>
      <w:r>
        <w:t>5.2 Pathway</w:t>
      </w:r>
    </w:p>
    <w:p>
      <w:pPr>
        <w:pStyle w:val="ListBullet"/>
      </w:pPr>
      <w:r>
        <w:rPr>
          <w:b/>
        </w:rPr>
        <w:t xml:space="preserve">Single window: </w:t>
      </w:r>
      <w:r>
        <w:t>One intake that auto-routes to the correct handler: general grievance vs. POSH Internal Committee (IC).</w:t>
      </w:r>
    </w:p>
    <w:p>
      <w:pPr>
        <w:pStyle w:val="ListBullet"/>
      </w:pPr>
      <w:r>
        <w:rPr>
          <w:b/>
        </w:rPr>
        <w:t xml:space="preserve">POSH specifics: </w:t>
      </w:r>
      <w:r>
        <w:t>IC constitution (≥50% women, external member), 90-day inquiry clock, strict confidentiality, recommendation and action tracking, annual-report support.</w:t>
      </w:r>
    </w:p>
    <w:p>
      <w:pPr>
        <w:pStyle w:val="ListBullet"/>
      </w:pPr>
      <w:r>
        <w:rPr>
          <w:b/>
        </w:rPr>
        <w:t xml:space="preserve">Escalation: </w:t>
      </w:r>
      <w:r>
        <w:t>On escalation, a consented hand-off creates an EDRS mediation/arbitration case with controlled data transfer and preserved confidentiality (escalation contract, EQR-06).</w:t>
      </w:r>
    </w:p>
    <w:p>
      <w:pPr>
        <w:pStyle w:val="Heading2"/>
      </w:pPr>
      <w:r>
        <w:t>5.3 Forms, remedies &amp; execution</w:t>
      </w:r>
    </w:p>
    <w:p>
      <w:pPr>
        <w:pStyle w:val="ListBullet"/>
      </w:pPr>
      <w:r>
        <w:t>Forms: Enterprise Grievance Complaint (category, respondent, narrative, evidence, anonymity option); POSH Complaint (incident, respondent, witnesses, relief, strict-confidential); IC Constitution &amp; member onboarding.</w:t>
      </w:r>
    </w:p>
    <w:p>
      <w:pPr>
        <w:pStyle w:val="ListBullet"/>
      </w:pPr>
      <w:r>
        <w:t>Remedies: complainant — inquiry, interim relief (transfer/leave), action against respondent, compensation; respondent — fair inquiry, right to be heard, defence, appeal.</w:t>
      </w:r>
    </w:p>
    <w:p>
      <w:pPr>
        <w:pStyle w:val="ListBullet"/>
      </w:pPr>
      <w:r>
        <w:t>Execution: IC recommendations actioned by the employer; escalated matters produce an MSA/award enforceable as above; audit trail supports statutory reporting.</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Confidentiality.  </w:t>
            </w:r>
            <w:r>
              <w:rPr>
                <w:color w:val="1A1A1A"/>
                <w:sz w:val="19"/>
              </w:rPr>
              <w:t>This module runs at the highest confidentiality tier: identity field-encryption, need-to-know access, break-glass logging, and redaction in cross-party views. POSH records never appear in general grievance dashboards.</w:t>
            </w:r>
          </w:p>
        </w:tc>
      </w:tr>
    </w:tbl>
    <w:p>
      <w:pPr>
        <w:spacing w:after="40"/>
      </w:pPr>
    </w:p>
    <w:p>
      <w:pPr>
        <w:pStyle w:val="Heading1"/>
      </w:pPr>
      <w:r>
        <w:t>6. Module — Consumer</w:t>
      </w:r>
    </w:p>
    <w:p>
      <w:pPr>
        <w:pStyle w:val="Heading2"/>
      </w:pPr>
      <w:r>
        <w:t>6.1 Scope &amp; law</w:t>
      </w:r>
    </w:p>
    <w:p>
      <w:pPr>
        <w:spacing w:after="120"/>
      </w:pPr>
      <w:r>
        <w:rPr>
          <w:b w:val="0"/>
        </w:rPr>
        <w:t>Consumer vs. business disputes: product/service defects, refunds, deficiency of service, e-commerce and marketplace disputes. Governed by the Consumer Protection Act 2019 (mediation cells; e-Daakhil), the Mediation Act 2023, and platform/marketplace T&amp;Cs. High-volume; template- and automation-heavy.</w:t>
      </w:r>
    </w:p>
    <w:p>
      <w:pPr>
        <w:pStyle w:val="Heading2"/>
      </w:pPr>
      <w:r>
        <w:t>6.2 Pathway, forms &amp; execution</w:t>
      </w:r>
    </w:p>
    <w:p>
      <w:pPr>
        <w:pStyle w:val="ListBullet"/>
      </w:pPr>
      <w:r>
        <w:rPr>
          <w:b/>
        </w:rPr>
        <w:t xml:space="preserve">Ladder: </w:t>
      </w:r>
      <w:r>
        <w:t>Direct resolution → conciliation/mediation; multi-channel (WhatsApp/SMS/web) for reach; e-Daakhil interoperability for consumer-commission linkage.</w:t>
      </w:r>
    </w:p>
    <w:p>
      <w:pPr>
        <w:pStyle w:val="ListBullet"/>
      </w:pPr>
      <w:r>
        <w:rPr>
          <w:b/>
        </w:rPr>
        <w:t xml:space="preserve">Forms: </w:t>
      </w:r>
      <w:r>
        <w:t>Consumer complaint (product/order, defect, relief), business response, settlement capture.</w:t>
      </w:r>
    </w:p>
    <w:p>
      <w:pPr>
        <w:pStyle w:val="ListBullet"/>
      </w:pPr>
      <w:r>
        <w:rPr>
          <w:b/>
        </w:rPr>
        <w:t xml:space="preserve">Remedies: </w:t>
      </w:r>
      <w:r>
        <w:t>Consumer — refund, replacement, compensation, deficiency remedy; business — proof of delivery/quality, set-off, partial refund.</w:t>
      </w:r>
    </w:p>
    <w:p>
      <w:pPr>
        <w:pStyle w:val="ListBullet"/>
      </w:pPr>
      <w:r>
        <w:rPr>
          <w:b/>
        </w:rPr>
        <w:t xml:space="preserve">Execution: </w:t>
      </w:r>
      <w:r>
        <w:t>MSA enforceable under s.27; unresolved matters routed to consumer commissions where applicable.</w:t>
      </w:r>
    </w:p>
    <w:p>
      <w:pPr>
        <w:pStyle w:val="Heading1"/>
      </w:pPr>
      <w:r>
        <w:t>7. Module — Securities (SEBI SMART-ODR)</w:t>
      </w:r>
    </w:p>
    <w:p>
      <w:pPr>
        <w:pStyle w:val="Heading2"/>
      </w:pPr>
      <w:r>
        <w:t>7.1 Scope &amp; law</w:t>
      </w:r>
    </w:p>
    <w:p>
      <w:pPr>
        <w:spacing w:after="120"/>
      </w:pPr>
      <w:r>
        <w:rPr>
          <w:b w:val="0"/>
        </w:rPr>
        <w:t>Investor/client disputes with market participants (brokers, listed companies, intermediaries) in the securities market. Governed by the SEBI ODR Master Circular (Jul 2023) and operated through the common SMART ODR portal, with SCORES as the complaint gateway.</w:t>
      </w:r>
    </w:p>
    <w:p>
      <w:pPr>
        <w:pStyle w:val="Heading2"/>
      </w:pPr>
      <w:r>
        <w:t>7.2 Pathway (statutory sequence)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8"/>
              </w:rPr>
              <w:t>Stage</w:t>
            </w:r>
          </w:p>
        </w:tc>
        <w:tc>
          <w:tcPr>
            <w:tcW w:type="dxa" w:w="4320"/>
            <w:shd w:val="clear" w:color="auto" w:fill="0B2E4F"/>
            <w:tcMar>
              <w:top w:w="60" w:type="dxa"/>
              <w:left w:w="110" w:type="dxa"/>
              <w:bottom w:w="60" w:type="dxa"/>
              <w:right w:w="110" w:type="dxa"/>
            </w:tcMar>
            <w:vAlign w:val="center"/>
          </w:tcPr>
          <w:p>
            <w:pPr>
              <w:spacing w:after="20"/>
            </w:pPr>
            <w:r>
              <w:rPr>
                <w:b/>
                <w:color w:val="FFFFFF"/>
                <w:sz w:val="18"/>
              </w:rPr>
              <w:t>Rule</w:t>
            </w:r>
          </w:p>
        </w:tc>
        <w:tc>
          <w:tcPr>
            <w:tcW w:type="dxa" w:w="2304"/>
            <w:shd w:val="clear" w:color="auto" w:fill="0B2E4F"/>
            <w:tcMar>
              <w:top w:w="60" w:type="dxa"/>
              <w:left w:w="110" w:type="dxa"/>
              <w:bottom w:w="60" w:type="dxa"/>
              <w:right w:w="110" w:type="dxa"/>
            </w:tcMar>
            <w:vAlign w:val="center"/>
          </w:tcPr>
          <w:p>
            <w:pPr>
              <w:spacing w:after="20"/>
            </w:pPr>
            <w:r>
              <w:rPr>
                <w:b/>
                <w:color w:val="FFFFFF"/>
                <w:sz w:val="18"/>
              </w:rPr>
              <w:t>Cost basis</w:t>
            </w:r>
          </w:p>
        </w:tc>
      </w:tr>
      <w:tr>
        <w:tc>
          <w:tcPr>
            <w:tcW w:type="dxa" w:w="2736"/>
            <w:tcMar>
              <w:top w:w="60" w:type="dxa"/>
              <w:left w:w="110" w:type="dxa"/>
              <w:bottom w:w="60" w:type="dxa"/>
              <w:right w:w="110" w:type="dxa"/>
            </w:tcMar>
            <w:vAlign w:val="top"/>
          </w:tcPr>
          <w:p>
            <w:pPr>
              <w:spacing w:after="20"/>
            </w:pPr>
            <w:r>
              <w:rPr>
                <w:b/>
                <w:sz w:val="18"/>
              </w:rPr>
              <w:t>Approach market participant</w:t>
            </w:r>
          </w:p>
        </w:tc>
        <w:tc>
          <w:tcPr>
            <w:tcW w:type="dxa" w:w="4320"/>
            <w:tcMar>
              <w:top w:w="60" w:type="dxa"/>
              <w:left w:w="110" w:type="dxa"/>
              <w:bottom w:w="60" w:type="dxa"/>
              <w:right w:w="110" w:type="dxa"/>
            </w:tcMar>
            <w:vAlign w:val="top"/>
          </w:tcPr>
          <w:p>
            <w:pPr>
              <w:spacing w:after="20"/>
            </w:pPr>
            <w:r>
              <w:rPr>
                <w:sz w:val="18"/>
              </w:rPr>
              <w:t>Investor first raises the matter with the participant</w:t>
            </w:r>
          </w:p>
        </w:tc>
        <w:tc>
          <w:tcPr>
            <w:tcW w:type="dxa" w:w="2304"/>
            <w:tcMar>
              <w:top w:w="60" w:type="dxa"/>
              <w:left w:w="110" w:type="dxa"/>
              <w:bottom w:w="60" w:type="dxa"/>
              <w:right w:w="110" w:type="dxa"/>
            </w:tcMar>
            <w:vAlign w:val="top"/>
          </w:tcPr>
          <w:p>
            <w:pPr>
              <w:spacing w:after="20"/>
            </w:pPr>
            <w:r>
              <w:rPr>
                <w:sz w:val="18"/>
              </w:rPr>
              <w:t>—</w:t>
            </w:r>
          </w:p>
        </w:tc>
      </w:tr>
      <w:tr>
        <w:tc>
          <w:tcPr>
            <w:tcW w:type="dxa" w:w="2736"/>
            <w:shd w:val="clear" w:color="auto" w:fill="EAF1F6"/>
            <w:tcMar>
              <w:top w:w="60" w:type="dxa"/>
              <w:left w:w="110" w:type="dxa"/>
              <w:bottom w:w="60" w:type="dxa"/>
              <w:right w:w="110" w:type="dxa"/>
            </w:tcMar>
            <w:vAlign w:val="top"/>
          </w:tcPr>
          <w:p>
            <w:pPr>
              <w:spacing w:after="20"/>
            </w:pPr>
            <w:r>
              <w:rPr>
                <w:b/>
                <w:sz w:val="18"/>
              </w:rPr>
              <w:t>Pre-conciliation</w:t>
            </w:r>
          </w:p>
        </w:tc>
        <w:tc>
          <w:tcPr>
            <w:tcW w:type="dxa" w:w="4320"/>
            <w:shd w:val="clear" w:color="auto" w:fill="EAF1F6"/>
            <w:tcMar>
              <w:top w:w="60" w:type="dxa"/>
              <w:left w:w="110" w:type="dxa"/>
              <w:bottom w:w="60" w:type="dxa"/>
              <w:right w:w="110" w:type="dxa"/>
            </w:tcMar>
            <w:vAlign w:val="top"/>
          </w:tcPr>
          <w:p>
            <w:pPr>
              <w:spacing w:after="20"/>
            </w:pPr>
            <w:r>
              <w:rPr>
                <w:sz w:val="18"/>
              </w:rPr>
              <w:t>MII aims to resolve within 21 days (+10)</w:t>
            </w:r>
          </w:p>
        </w:tc>
        <w:tc>
          <w:tcPr>
            <w:tcW w:type="dxa" w:w="2304"/>
            <w:shd w:val="clear" w:color="auto" w:fill="EAF1F6"/>
            <w:tcMar>
              <w:top w:w="60" w:type="dxa"/>
              <w:left w:w="110" w:type="dxa"/>
              <w:bottom w:w="60" w:type="dxa"/>
              <w:right w:w="110" w:type="dxa"/>
            </w:tcMar>
            <w:vAlign w:val="top"/>
          </w:tcPr>
          <w:p>
            <w:pPr>
              <w:spacing w:after="20"/>
            </w:pPr>
            <w:r>
              <w:rPr>
                <w:sz w:val="18"/>
              </w:rPr>
              <w:t>Free to both sides</w:t>
            </w:r>
          </w:p>
        </w:tc>
      </w:tr>
      <w:tr>
        <w:tc>
          <w:tcPr>
            <w:tcW w:type="dxa" w:w="2736"/>
            <w:tcMar>
              <w:top w:w="60" w:type="dxa"/>
              <w:left w:w="110" w:type="dxa"/>
              <w:bottom w:w="60" w:type="dxa"/>
              <w:right w:w="110" w:type="dxa"/>
            </w:tcMar>
            <w:vAlign w:val="top"/>
          </w:tcPr>
          <w:p>
            <w:pPr>
              <w:spacing w:after="20"/>
            </w:pPr>
            <w:r>
              <w:rPr>
                <w:b/>
                <w:sz w:val="18"/>
              </w:rPr>
              <w:t>Conciliation</w:t>
            </w:r>
          </w:p>
        </w:tc>
        <w:tc>
          <w:tcPr>
            <w:tcW w:type="dxa" w:w="4320"/>
            <w:tcMar>
              <w:top w:w="60" w:type="dxa"/>
              <w:left w:w="110" w:type="dxa"/>
              <w:bottom w:w="60" w:type="dxa"/>
              <w:right w:w="110" w:type="dxa"/>
            </w:tcMar>
            <w:vAlign w:val="top"/>
          </w:tcPr>
          <w:p>
            <w:pPr>
              <w:spacing w:after="20"/>
            </w:pPr>
            <w:r>
              <w:rPr>
                <w:sz w:val="18"/>
              </w:rPr>
              <w:t>Round-robin to empanelled ODR institution</w:t>
            </w:r>
          </w:p>
        </w:tc>
        <w:tc>
          <w:tcPr>
            <w:tcW w:type="dxa" w:w="2304"/>
            <w:tcMar>
              <w:top w:w="60" w:type="dxa"/>
              <w:left w:w="110" w:type="dxa"/>
              <w:bottom w:w="60" w:type="dxa"/>
              <w:right w:w="110" w:type="dxa"/>
            </w:tcMar>
            <w:vAlign w:val="top"/>
          </w:tcPr>
          <w:p>
            <w:pPr>
              <w:spacing w:after="20"/>
            </w:pPr>
            <w:r>
              <w:rPr>
                <w:sz w:val="18"/>
              </w:rPr>
              <w:t>Paid by market participant</w:t>
            </w:r>
          </w:p>
        </w:tc>
      </w:tr>
      <w:tr>
        <w:tc>
          <w:tcPr>
            <w:tcW w:type="dxa" w:w="2736"/>
            <w:shd w:val="clear" w:color="auto" w:fill="EAF1F6"/>
            <w:tcMar>
              <w:top w:w="60" w:type="dxa"/>
              <w:left w:w="110" w:type="dxa"/>
              <w:bottom w:w="60" w:type="dxa"/>
              <w:right w:w="110" w:type="dxa"/>
            </w:tcMar>
            <w:vAlign w:val="top"/>
          </w:tcPr>
          <w:p>
            <w:pPr>
              <w:spacing w:after="20"/>
            </w:pPr>
            <w:r>
              <w:rPr>
                <w:b/>
                <w:sz w:val="18"/>
              </w:rPr>
              <w:t>Arbitration</w:t>
            </w:r>
          </w:p>
        </w:tc>
        <w:tc>
          <w:tcPr>
            <w:tcW w:type="dxa" w:w="4320"/>
            <w:shd w:val="clear" w:color="auto" w:fill="EAF1F6"/>
            <w:tcMar>
              <w:top w:w="60" w:type="dxa"/>
              <w:left w:w="110" w:type="dxa"/>
              <w:bottom w:w="60" w:type="dxa"/>
              <w:right w:w="110" w:type="dxa"/>
            </w:tcMar>
            <w:vAlign w:val="top"/>
          </w:tcPr>
          <w:p>
            <w:pPr>
              <w:spacing w:after="20"/>
            </w:pPr>
            <w:r>
              <w:rPr>
                <w:sz w:val="18"/>
              </w:rPr>
              <w:t>Binding award if conciliation fails</w:t>
            </w:r>
          </w:p>
        </w:tc>
        <w:tc>
          <w:tcPr>
            <w:tcW w:type="dxa" w:w="2304"/>
            <w:shd w:val="clear" w:color="auto" w:fill="EAF1F6"/>
            <w:tcMar>
              <w:top w:w="60" w:type="dxa"/>
              <w:left w:w="110" w:type="dxa"/>
              <w:bottom w:w="60" w:type="dxa"/>
              <w:right w:w="110" w:type="dxa"/>
            </w:tcMar>
            <w:vAlign w:val="top"/>
          </w:tcPr>
          <w:p>
            <w:pPr>
              <w:spacing w:after="20"/>
            </w:pPr>
            <w:r>
              <w:rPr>
                <w:sz w:val="18"/>
              </w:rPr>
              <w:t>Both sides; fee by claim value</w:t>
            </w:r>
          </w:p>
        </w:tc>
      </w:tr>
    </w:tbl>
    <w:p>
      <w:pPr>
        <w:spacing w:after="40"/>
      </w:pPr>
    </w:p>
    <w:p>
      <w:pPr>
        <w:spacing w:after="120"/>
      </w:pPr>
      <w:r>
        <w:rPr>
          <w:b w:val="0"/>
        </w:rPr>
        <w:t>Integration: SCORES/intermediary SSO, SMART-ODR interoperability, round-robin allocation and statutory clocks are configured for this module (EQR-06). Execution: arbitral award under s.36 A&amp;C Act. Related channel: Sahamati empanelment for Account-Aggregator inter-member disputes.</w:t>
      </w:r>
    </w:p>
    <w:p>
      <w:pPr>
        <w:pStyle w:val="Heading1"/>
      </w:pPr>
      <w:r>
        <w:t>8. Module — International &amp; Cross-Border</w:t>
      </w:r>
    </w:p>
    <w:p>
      <w:pPr>
        <w:spacing w:before="80" w:after="160"/>
        <w:jc w:val="center"/>
      </w:pPr>
      <w:r>
        <w:rPr>
          <w:b/>
          <w:i/>
          <w:color w:val="1F7A8C"/>
          <w:sz w:val="24"/>
        </w:rPr>
        <w:t>Resolve from anywhere — as per your country's law, in your language.</w:t>
      </w:r>
    </w:p>
    <w:p>
      <w:pPr>
        <w:pStyle w:val="Heading2"/>
      </w:pPr>
      <w:r>
        <w:t>8.1 Scope</w:t>
      </w:r>
    </w:p>
    <w:p>
      <w:pPr>
        <w:spacing w:after="120"/>
      </w:pPr>
      <w:r>
        <w:rPr>
          <w:b w:val="0"/>
        </w:rPr>
        <w:t>International commercial arbitration (ICA), cross-border mediation, disputes of international and NRI marriages, and export–import/trade disputes. Parties select seat, governing law and language; the platform packages outcomes for foreign enforcement.</w:t>
      </w:r>
    </w:p>
    <w:p>
      <w:pPr>
        <w:pStyle w:val="Heading2"/>
      </w:pPr>
      <w:r>
        <w:t>8.2 Sub-modules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592"/>
            <w:shd w:val="clear" w:color="auto" w:fill="0B2E4F"/>
            <w:tcMar>
              <w:top w:w="60" w:type="dxa"/>
              <w:left w:w="110" w:type="dxa"/>
              <w:bottom w:w="60" w:type="dxa"/>
              <w:right w:w="110" w:type="dxa"/>
            </w:tcMar>
            <w:vAlign w:val="center"/>
          </w:tcPr>
          <w:p>
            <w:pPr>
              <w:spacing w:after="20"/>
            </w:pPr>
            <w:r>
              <w:rPr>
                <w:b/>
                <w:color w:val="FFFFFF"/>
                <w:sz w:val="17"/>
              </w:rPr>
              <w:t>Sub-module</w:t>
            </w:r>
          </w:p>
        </w:tc>
        <w:tc>
          <w:tcPr>
            <w:tcW w:type="dxa" w:w="2304"/>
            <w:shd w:val="clear" w:color="auto" w:fill="0B2E4F"/>
            <w:tcMar>
              <w:top w:w="60" w:type="dxa"/>
              <w:left w:w="110" w:type="dxa"/>
              <w:bottom w:w="60" w:type="dxa"/>
              <w:right w:w="110" w:type="dxa"/>
            </w:tcMar>
            <w:vAlign w:val="center"/>
          </w:tcPr>
          <w:p>
            <w:pPr>
              <w:spacing w:after="20"/>
            </w:pPr>
            <w:r>
              <w:rPr>
                <w:b/>
                <w:color w:val="FFFFFF"/>
                <w:sz w:val="17"/>
              </w:rPr>
              <w:t>Mechanism</w:t>
            </w:r>
          </w:p>
        </w:tc>
        <w:tc>
          <w:tcPr>
            <w:tcW w:type="dxa" w:w="4464"/>
            <w:shd w:val="clear" w:color="auto" w:fill="0B2E4F"/>
            <w:tcMar>
              <w:top w:w="60" w:type="dxa"/>
              <w:left w:w="110" w:type="dxa"/>
              <w:bottom w:w="60" w:type="dxa"/>
              <w:right w:w="110" w:type="dxa"/>
            </w:tcMar>
            <w:vAlign w:val="center"/>
          </w:tcPr>
          <w:p>
            <w:pPr>
              <w:spacing w:after="20"/>
            </w:pPr>
            <w:r>
              <w:rPr>
                <w:b/>
                <w:color w:val="FFFFFF"/>
                <w:sz w:val="17"/>
              </w:rPr>
              <w:t>Enforcement frame</w:t>
            </w:r>
          </w:p>
        </w:tc>
      </w:tr>
      <w:tr>
        <w:tc>
          <w:tcPr>
            <w:tcW w:type="dxa" w:w="2592"/>
            <w:tcMar>
              <w:top w:w="60" w:type="dxa"/>
              <w:left w:w="110" w:type="dxa"/>
              <w:bottom w:w="60" w:type="dxa"/>
              <w:right w:w="110" w:type="dxa"/>
            </w:tcMar>
            <w:vAlign w:val="top"/>
          </w:tcPr>
          <w:p>
            <w:pPr>
              <w:spacing w:after="20"/>
            </w:pPr>
            <w:r>
              <w:rPr>
                <w:b/>
                <w:sz w:val="17"/>
              </w:rPr>
              <w:t>International commercial arbitration</w:t>
            </w:r>
          </w:p>
        </w:tc>
        <w:tc>
          <w:tcPr>
            <w:tcW w:type="dxa" w:w="2304"/>
            <w:tcMar>
              <w:top w:w="60" w:type="dxa"/>
              <w:left w:w="110" w:type="dxa"/>
              <w:bottom w:w="60" w:type="dxa"/>
              <w:right w:w="110" w:type="dxa"/>
            </w:tcMar>
            <w:vAlign w:val="top"/>
          </w:tcPr>
          <w:p>
            <w:pPr>
              <w:spacing w:after="20"/>
            </w:pPr>
            <w:r>
              <w:rPr>
                <w:sz w:val="17"/>
              </w:rPr>
              <w:t>Arbitration (sole/three)</w:t>
            </w:r>
          </w:p>
        </w:tc>
        <w:tc>
          <w:tcPr>
            <w:tcW w:type="dxa" w:w="4464"/>
            <w:tcMar>
              <w:top w:w="60" w:type="dxa"/>
              <w:left w:w="110" w:type="dxa"/>
              <w:bottom w:w="60" w:type="dxa"/>
              <w:right w:w="110" w:type="dxa"/>
            </w:tcMar>
            <w:vAlign w:val="top"/>
          </w:tcPr>
          <w:p>
            <w:pPr>
              <w:spacing w:after="20"/>
            </w:pPr>
            <w:r>
              <w:rPr>
                <w:sz w:val="17"/>
              </w:rPr>
              <w:t>New York Convention 1958 (170+ states); UNCITRAL Model Law; align rules to SIAC/ICC/MCIA</w:t>
            </w:r>
          </w:p>
        </w:tc>
      </w:tr>
      <w:tr>
        <w:tc>
          <w:tcPr>
            <w:tcW w:type="dxa" w:w="2592"/>
            <w:shd w:val="clear" w:color="auto" w:fill="EAF1F6"/>
            <w:tcMar>
              <w:top w:w="60" w:type="dxa"/>
              <w:left w:w="110" w:type="dxa"/>
              <w:bottom w:w="60" w:type="dxa"/>
              <w:right w:w="110" w:type="dxa"/>
            </w:tcMar>
            <w:vAlign w:val="top"/>
          </w:tcPr>
          <w:p>
            <w:pPr>
              <w:spacing w:after="20"/>
            </w:pPr>
            <w:r>
              <w:rPr>
                <w:b/>
                <w:sz w:val="17"/>
              </w:rPr>
              <w:t>Cross-border mediation</w:t>
            </w:r>
          </w:p>
        </w:tc>
        <w:tc>
          <w:tcPr>
            <w:tcW w:type="dxa" w:w="2304"/>
            <w:shd w:val="clear" w:color="auto" w:fill="EAF1F6"/>
            <w:tcMar>
              <w:top w:w="60" w:type="dxa"/>
              <w:left w:w="110" w:type="dxa"/>
              <w:bottom w:w="60" w:type="dxa"/>
              <w:right w:w="110" w:type="dxa"/>
            </w:tcMar>
            <w:vAlign w:val="top"/>
          </w:tcPr>
          <w:p>
            <w:pPr>
              <w:spacing w:after="20"/>
            </w:pPr>
            <w:r>
              <w:rPr>
                <w:sz w:val="17"/>
              </w:rPr>
              <w:t>Mediation</w:t>
            </w:r>
          </w:p>
        </w:tc>
        <w:tc>
          <w:tcPr>
            <w:tcW w:type="dxa" w:w="4464"/>
            <w:shd w:val="clear" w:color="auto" w:fill="EAF1F6"/>
            <w:tcMar>
              <w:top w:w="60" w:type="dxa"/>
              <w:left w:w="110" w:type="dxa"/>
              <w:bottom w:w="60" w:type="dxa"/>
              <w:right w:w="110" w:type="dxa"/>
            </w:tcMar>
            <w:vAlign w:val="top"/>
          </w:tcPr>
          <w:p>
            <w:pPr>
              <w:spacing w:after="20"/>
            </w:pPr>
            <w:r>
              <w:rPr>
                <w:sz w:val="17"/>
              </w:rPr>
              <w:t>Singapore Convention 2019 (India signed, not yet ratified — flagged); enforce per local law</w:t>
            </w:r>
          </w:p>
        </w:tc>
      </w:tr>
      <w:tr>
        <w:tc>
          <w:tcPr>
            <w:tcW w:type="dxa" w:w="2592"/>
            <w:tcMar>
              <w:top w:w="60" w:type="dxa"/>
              <w:left w:w="110" w:type="dxa"/>
              <w:bottom w:w="60" w:type="dxa"/>
              <w:right w:w="110" w:type="dxa"/>
            </w:tcMar>
            <w:vAlign w:val="top"/>
          </w:tcPr>
          <w:p>
            <w:pPr>
              <w:spacing w:after="20"/>
            </w:pPr>
            <w:r>
              <w:rPr>
                <w:b/>
                <w:sz w:val="17"/>
              </w:rPr>
              <w:t>International / NRI marriage</w:t>
            </w:r>
          </w:p>
        </w:tc>
        <w:tc>
          <w:tcPr>
            <w:tcW w:type="dxa" w:w="2304"/>
            <w:tcMar>
              <w:top w:w="60" w:type="dxa"/>
              <w:left w:w="110" w:type="dxa"/>
              <w:bottom w:w="60" w:type="dxa"/>
              <w:right w:w="110" w:type="dxa"/>
            </w:tcMar>
            <w:vAlign w:val="top"/>
          </w:tcPr>
          <w:p>
            <w:pPr>
              <w:spacing w:after="20"/>
            </w:pPr>
            <w:r>
              <w:rPr>
                <w:sz w:val="17"/>
              </w:rPr>
              <w:t>Mediation (+ arbitrable money sub-issues)</w:t>
            </w:r>
          </w:p>
        </w:tc>
        <w:tc>
          <w:tcPr>
            <w:tcW w:type="dxa" w:w="4464"/>
            <w:tcMar>
              <w:top w:w="60" w:type="dxa"/>
              <w:left w:w="110" w:type="dxa"/>
              <w:bottom w:w="60" w:type="dxa"/>
              <w:right w:w="110" w:type="dxa"/>
            </w:tcMar>
            <w:vAlign w:val="top"/>
          </w:tcPr>
          <w:p>
            <w:pPr>
              <w:spacing w:after="20"/>
            </w:pPr>
            <w:r>
              <w:rPr>
                <w:sz w:val="17"/>
              </w:rPr>
              <w:t>Coordinate personal law + foreign court recognition</w:t>
            </w:r>
          </w:p>
        </w:tc>
      </w:tr>
      <w:tr>
        <w:tc>
          <w:tcPr>
            <w:tcW w:type="dxa" w:w="2592"/>
            <w:shd w:val="clear" w:color="auto" w:fill="EAF1F6"/>
            <w:tcMar>
              <w:top w:w="60" w:type="dxa"/>
              <w:left w:w="110" w:type="dxa"/>
              <w:bottom w:w="60" w:type="dxa"/>
              <w:right w:w="110" w:type="dxa"/>
            </w:tcMar>
            <w:vAlign w:val="top"/>
          </w:tcPr>
          <w:p>
            <w:pPr>
              <w:spacing w:after="20"/>
            </w:pPr>
            <w:r>
              <w:rPr>
                <w:b/>
                <w:sz w:val="17"/>
              </w:rPr>
              <w:t>Export–import / trade</w:t>
            </w:r>
          </w:p>
        </w:tc>
        <w:tc>
          <w:tcPr>
            <w:tcW w:type="dxa" w:w="2304"/>
            <w:shd w:val="clear" w:color="auto" w:fill="EAF1F6"/>
            <w:tcMar>
              <w:top w:w="60" w:type="dxa"/>
              <w:left w:w="110" w:type="dxa"/>
              <w:bottom w:w="60" w:type="dxa"/>
              <w:right w:w="110" w:type="dxa"/>
            </w:tcMar>
            <w:vAlign w:val="top"/>
          </w:tcPr>
          <w:p>
            <w:pPr>
              <w:spacing w:after="20"/>
            </w:pPr>
            <w:r>
              <w:rPr>
                <w:sz w:val="17"/>
              </w:rPr>
              <w:t>Arbitration / mediation</w:t>
            </w:r>
          </w:p>
        </w:tc>
        <w:tc>
          <w:tcPr>
            <w:tcW w:type="dxa" w:w="4464"/>
            <w:shd w:val="clear" w:color="auto" w:fill="EAF1F6"/>
            <w:tcMar>
              <w:top w:w="60" w:type="dxa"/>
              <w:left w:w="110" w:type="dxa"/>
              <w:bottom w:w="60" w:type="dxa"/>
              <w:right w:w="110" w:type="dxa"/>
            </w:tcMar>
            <w:vAlign w:val="top"/>
          </w:tcPr>
          <w:p>
            <w:pPr>
              <w:spacing w:after="20"/>
            </w:pPr>
            <w:r>
              <w:rPr>
                <w:sz w:val="17"/>
              </w:rPr>
              <w:t>New York Convention; incoterms and trade-rule aware; WTO-consistent state-to-state context noted</w:t>
            </w:r>
          </w:p>
        </w:tc>
      </w:tr>
    </w:tbl>
    <w:p>
      <w:pPr>
        <w:spacing w:after="40"/>
      </w:pPr>
    </w:p>
    <w:p>
      <w:pPr>
        <w:pStyle w:val="Heading2"/>
      </w:pPr>
      <w:r>
        <w:t>8.3 Cross-border features</w:t>
      </w:r>
    </w:p>
    <w:p>
      <w:pPr>
        <w:pStyle w:val="ListBullet"/>
      </w:pPr>
      <w:r>
        <w:t>Seat, venue, governing-law and language selection captured at filing and printed on the outcome.</w:t>
      </w:r>
    </w:p>
    <w:p>
      <w:pPr>
        <w:pStyle w:val="ListBullet"/>
      </w:pPr>
      <w:r>
        <w:t>Multi-currency fees (PayPal international) and translation/interpretation support.</w:t>
      </w:r>
    </w:p>
    <w:p>
      <w:pPr>
        <w:pStyle w:val="ListBullet"/>
      </w:pPr>
      <w:r>
        <w:t>Convention-format provenance packaging (award/MSA, agreement, service proofs, signatures, translations).</w:t>
      </w:r>
    </w:p>
    <w:p>
      <w:pPr>
        <w:pStyle w:val="ListBullet"/>
      </w:pPr>
      <w:r>
        <w:t>Country-specific landing pages and neutral selection by jurisdiction (EQR-09).</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Standards posture.  </w:t>
            </w:r>
            <w:r>
              <w:rPr>
                <w:color w:val="1A1A1A"/>
                <w:sz w:val="19"/>
              </w:rPr>
              <w:t>International matters align to the New York Convention and, for mediated settlements, the Singapore Convention; the platform tracks India's ratification status and adjusts in-product guidance accordingly. State-to-state trade remedies (WTO) are out of scope for private ODR but inform export–import context.</w:t>
            </w:r>
          </w:p>
        </w:tc>
      </w:tr>
    </w:tbl>
    <w:p>
      <w:pPr>
        <w:spacing w:after="40"/>
      </w:pPr>
    </w:p>
    <w:p>
      <w:pPr>
        <w:pStyle w:val="Heading1"/>
      </w:pPr>
      <w:r>
        <w:t>9. Module Coverage Matrix</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7"/>
              </w:rPr>
              <w:t>Module</w:t>
            </w:r>
          </w:p>
        </w:tc>
        <w:tc>
          <w:tcPr>
            <w:tcW w:type="dxa" w:w="2736"/>
            <w:shd w:val="clear" w:color="auto" w:fill="0B2E4F"/>
            <w:tcMar>
              <w:top w:w="60" w:type="dxa"/>
              <w:left w:w="110" w:type="dxa"/>
              <w:bottom w:w="60" w:type="dxa"/>
              <w:right w:w="110" w:type="dxa"/>
            </w:tcMar>
            <w:vAlign w:val="center"/>
          </w:tcPr>
          <w:p>
            <w:pPr>
              <w:spacing w:after="20"/>
            </w:pPr>
            <w:r>
              <w:rPr>
                <w:b/>
                <w:color w:val="FFFFFF"/>
                <w:sz w:val="17"/>
              </w:rPr>
              <w:t>Primary law</w:t>
            </w:r>
          </w:p>
        </w:tc>
        <w:tc>
          <w:tcPr>
            <w:tcW w:type="dxa" w:w="2448"/>
            <w:shd w:val="clear" w:color="auto" w:fill="0B2E4F"/>
            <w:tcMar>
              <w:top w:w="60" w:type="dxa"/>
              <w:left w:w="110" w:type="dxa"/>
              <w:bottom w:w="60" w:type="dxa"/>
              <w:right w:w="110" w:type="dxa"/>
            </w:tcMar>
            <w:vAlign w:val="center"/>
          </w:tcPr>
          <w:p>
            <w:pPr>
              <w:spacing w:after="20"/>
            </w:pPr>
            <w:r>
              <w:rPr>
                <w:b/>
                <w:color w:val="FFFFFF"/>
                <w:sz w:val="17"/>
              </w:rPr>
              <w:t>Primary mechanism</w:t>
            </w:r>
          </w:p>
        </w:tc>
        <w:tc>
          <w:tcPr>
            <w:tcW w:type="dxa" w:w="2160"/>
            <w:shd w:val="clear" w:color="auto" w:fill="0B2E4F"/>
            <w:tcMar>
              <w:top w:w="60" w:type="dxa"/>
              <w:left w:w="110" w:type="dxa"/>
              <w:bottom w:w="60" w:type="dxa"/>
              <w:right w:w="110" w:type="dxa"/>
            </w:tcMar>
            <w:vAlign w:val="center"/>
          </w:tcPr>
          <w:p>
            <w:pPr>
              <w:spacing w:after="20"/>
            </w:pPr>
            <w:r>
              <w:rPr>
                <w:b/>
                <w:color w:val="FFFFFF"/>
                <w:sz w:val="17"/>
              </w:rPr>
              <w:t>Execution</w:t>
            </w:r>
          </w:p>
        </w:tc>
      </w:tr>
      <w:tr>
        <w:tc>
          <w:tcPr>
            <w:tcW w:type="dxa" w:w="2016"/>
            <w:tcMar>
              <w:top w:w="60" w:type="dxa"/>
              <w:left w:w="110" w:type="dxa"/>
              <w:bottom w:w="60" w:type="dxa"/>
              <w:right w:w="110" w:type="dxa"/>
            </w:tcMar>
            <w:vAlign w:val="top"/>
          </w:tcPr>
          <w:p>
            <w:pPr>
              <w:spacing w:after="20"/>
            </w:pPr>
            <w:r>
              <w:rPr>
                <w:b/>
                <w:sz w:val="17"/>
              </w:rPr>
              <w:t>Family</w:t>
            </w:r>
          </w:p>
        </w:tc>
        <w:tc>
          <w:tcPr>
            <w:tcW w:type="dxa" w:w="2736"/>
            <w:tcMar>
              <w:top w:w="60" w:type="dxa"/>
              <w:left w:w="110" w:type="dxa"/>
              <w:bottom w:w="60" w:type="dxa"/>
              <w:right w:w="110" w:type="dxa"/>
            </w:tcMar>
            <w:vAlign w:val="top"/>
          </w:tcPr>
          <w:p>
            <w:pPr>
              <w:spacing w:after="20"/>
            </w:pPr>
            <w:r>
              <w:rPr>
                <w:sz w:val="17"/>
              </w:rPr>
              <w:t>Mediation Act; Family Courts Act</w:t>
            </w:r>
          </w:p>
        </w:tc>
        <w:tc>
          <w:tcPr>
            <w:tcW w:type="dxa" w:w="2448"/>
            <w:tcMar>
              <w:top w:w="60" w:type="dxa"/>
              <w:left w:w="110" w:type="dxa"/>
              <w:bottom w:w="60" w:type="dxa"/>
              <w:right w:w="110" w:type="dxa"/>
            </w:tcMar>
            <w:vAlign w:val="top"/>
          </w:tcPr>
          <w:p>
            <w:pPr>
              <w:spacing w:after="20"/>
            </w:pPr>
            <w:r>
              <w:rPr>
                <w:sz w:val="17"/>
              </w:rPr>
              <w:t>Mediation</w:t>
            </w:r>
          </w:p>
        </w:tc>
        <w:tc>
          <w:tcPr>
            <w:tcW w:type="dxa" w:w="2160"/>
            <w:tcMar>
              <w:top w:w="60" w:type="dxa"/>
              <w:left w:w="110" w:type="dxa"/>
              <w:bottom w:w="60" w:type="dxa"/>
              <w:right w:w="110" w:type="dxa"/>
            </w:tcMar>
            <w:vAlign w:val="top"/>
          </w:tcPr>
          <w:p>
            <w:pPr>
              <w:spacing w:after="20"/>
            </w:pPr>
            <w:r>
              <w:rPr>
                <w:sz w:val="17"/>
              </w:rPr>
              <w:t>s.27 MSA / family court</w:t>
            </w:r>
          </w:p>
        </w:tc>
      </w:tr>
      <w:tr>
        <w:tc>
          <w:tcPr>
            <w:tcW w:type="dxa" w:w="2016"/>
            <w:shd w:val="clear" w:color="auto" w:fill="EAF1F6"/>
            <w:tcMar>
              <w:top w:w="60" w:type="dxa"/>
              <w:left w:w="110" w:type="dxa"/>
              <w:bottom w:w="60" w:type="dxa"/>
              <w:right w:w="110" w:type="dxa"/>
            </w:tcMar>
            <w:vAlign w:val="top"/>
          </w:tcPr>
          <w:p>
            <w:pPr>
              <w:spacing w:after="20"/>
            </w:pPr>
            <w:r>
              <w:rPr>
                <w:b/>
                <w:sz w:val="17"/>
              </w:rPr>
              <w:t>NBFC</w:t>
            </w:r>
          </w:p>
        </w:tc>
        <w:tc>
          <w:tcPr>
            <w:tcW w:type="dxa" w:w="2736"/>
            <w:shd w:val="clear" w:color="auto" w:fill="EAF1F6"/>
            <w:tcMar>
              <w:top w:w="60" w:type="dxa"/>
              <w:left w:w="110" w:type="dxa"/>
              <w:bottom w:w="60" w:type="dxa"/>
              <w:right w:w="110" w:type="dxa"/>
            </w:tcMar>
            <w:vAlign w:val="top"/>
          </w:tcPr>
          <w:p>
            <w:pPr>
              <w:spacing w:after="20"/>
            </w:pPr>
            <w:r>
              <w:rPr>
                <w:sz w:val="17"/>
              </w:rPr>
              <w:t>A&amp;C Act; RBI directions</w:t>
            </w:r>
          </w:p>
        </w:tc>
        <w:tc>
          <w:tcPr>
            <w:tcW w:type="dxa" w:w="2448"/>
            <w:shd w:val="clear" w:color="auto" w:fill="EAF1F6"/>
            <w:tcMar>
              <w:top w:w="60" w:type="dxa"/>
              <w:left w:w="110" w:type="dxa"/>
              <w:bottom w:w="60" w:type="dxa"/>
              <w:right w:w="110" w:type="dxa"/>
            </w:tcMar>
            <w:vAlign w:val="top"/>
          </w:tcPr>
          <w:p>
            <w:pPr>
              <w:spacing w:after="20"/>
            </w:pPr>
            <w:r>
              <w:rPr>
                <w:sz w:val="17"/>
              </w:rPr>
              <w:t>Conciliation→arbitration</w:t>
            </w:r>
          </w:p>
        </w:tc>
        <w:tc>
          <w:tcPr>
            <w:tcW w:type="dxa" w:w="2160"/>
            <w:shd w:val="clear" w:color="auto" w:fill="EAF1F6"/>
            <w:tcMar>
              <w:top w:w="60" w:type="dxa"/>
              <w:left w:w="110" w:type="dxa"/>
              <w:bottom w:w="60" w:type="dxa"/>
              <w:right w:w="110" w:type="dxa"/>
            </w:tcMar>
            <w:vAlign w:val="top"/>
          </w:tcPr>
          <w:p>
            <w:pPr>
              <w:spacing w:after="20"/>
            </w:pPr>
            <w:r>
              <w:rPr>
                <w:sz w:val="17"/>
              </w:rPr>
              <w:t>s.36 award / escrow</w:t>
            </w:r>
          </w:p>
        </w:tc>
      </w:tr>
      <w:tr>
        <w:tc>
          <w:tcPr>
            <w:tcW w:type="dxa" w:w="2016"/>
            <w:tcMar>
              <w:top w:w="60" w:type="dxa"/>
              <w:left w:w="110" w:type="dxa"/>
              <w:bottom w:w="60" w:type="dxa"/>
              <w:right w:w="110" w:type="dxa"/>
            </w:tcMar>
            <w:vAlign w:val="top"/>
          </w:tcPr>
          <w:p>
            <w:pPr>
              <w:spacing w:after="20"/>
            </w:pPr>
            <w:r>
              <w:rPr>
                <w:b/>
                <w:sz w:val="17"/>
              </w:rPr>
              <w:t>Commercial/MSME</w:t>
            </w:r>
          </w:p>
        </w:tc>
        <w:tc>
          <w:tcPr>
            <w:tcW w:type="dxa" w:w="2736"/>
            <w:tcMar>
              <w:top w:w="60" w:type="dxa"/>
              <w:left w:w="110" w:type="dxa"/>
              <w:bottom w:w="60" w:type="dxa"/>
              <w:right w:w="110" w:type="dxa"/>
            </w:tcMar>
            <w:vAlign w:val="top"/>
          </w:tcPr>
          <w:p>
            <w:pPr>
              <w:spacing w:after="20"/>
            </w:pPr>
            <w:r>
              <w:rPr>
                <w:sz w:val="17"/>
              </w:rPr>
              <w:t>A&amp;C; Commercial Courts; MSMED</w:t>
            </w:r>
          </w:p>
        </w:tc>
        <w:tc>
          <w:tcPr>
            <w:tcW w:type="dxa" w:w="2448"/>
            <w:tcMar>
              <w:top w:w="60" w:type="dxa"/>
              <w:left w:w="110" w:type="dxa"/>
              <w:bottom w:w="60" w:type="dxa"/>
              <w:right w:w="110" w:type="dxa"/>
            </w:tcMar>
            <w:vAlign w:val="top"/>
          </w:tcPr>
          <w:p>
            <w:pPr>
              <w:spacing w:after="20"/>
            </w:pPr>
            <w:r>
              <w:rPr>
                <w:sz w:val="17"/>
              </w:rPr>
              <w:t>Mediation/arbitration</w:t>
            </w:r>
          </w:p>
        </w:tc>
        <w:tc>
          <w:tcPr>
            <w:tcW w:type="dxa" w:w="2160"/>
            <w:tcMar>
              <w:top w:w="60" w:type="dxa"/>
              <w:left w:w="110" w:type="dxa"/>
              <w:bottom w:w="60" w:type="dxa"/>
              <w:right w:w="110" w:type="dxa"/>
            </w:tcMar>
            <w:vAlign w:val="top"/>
          </w:tcPr>
          <w:p>
            <w:pPr>
              <w:spacing w:after="20"/>
            </w:pPr>
            <w:r>
              <w:rPr>
                <w:sz w:val="17"/>
              </w:rPr>
              <w:t>s.36 / s.27 / MSEFC</w:t>
            </w:r>
          </w:p>
        </w:tc>
      </w:tr>
      <w:tr>
        <w:tc>
          <w:tcPr>
            <w:tcW w:type="dxa" w:w="2016"/>
            <w:shd w:val="clear" w:color="auto" w:fill="EAF1F6"/>
            <w:tcMar>
              <w:top w:w="60" w:type="dxa"/>
              <w:left w:w="110" w:type="dxa"/>
              <w:bottom w:w="60" w:type="dxa"/>
              <w:right w:w="110" w:type="dxa"/>
            </w:tcMar>
            <w:vAlign w:val="top"/>
          </w:tcPr>
          <w:p>
            <w:pPr>
              <w:spacing w:after="20"/>
            </w:pPr>
            <w:r>
              <w:rPr>
                <w:b/>
                <w:sz w:val="17"/>
              </w:rPr>
              <w:t>Grievance/POSH</w:t>
            </w:r>
          </w:p>
        </w:tc>
        <w:tc>
          <w:tcPr>
            <w:tcW w:type="dxa" w:w="2736"/>
            <w:shd w:val="clear" w:color="auto" w:fill="EAF1F6"/>
            <w:tcMar>
              <w:top w:w="60" w:type="dxa"/>
              <w:left w:w="110" w:type="dxa"/>
              <w:bottom w:w="60" w:type="dxa"/>
              <w:right w:w="110" w:type="dxa"/>
            </w:tcMar>
            <w:vAlign w:val="top"/>
          </w:tcPr>
          <w:p>
            <w:pPr>
              <w:spacing w:after="20"/>
            </w:pPr>
            <w:r>
              <w:rPr>
                <w:sz w:val="17"/>
              </w:rPr>
              <w:t>POSH Act; HR/labour</w:t>
            </w:r>
          </w:p>
        </w:tc>
        <w:tc>
          <w:tcPr>
            <w:tcW w:type="dxa" w:w="2448"/>
            <w:shd w:val="clear" w:color="auto" w:fill="EAF1F6"/>
            <w:tcMar>
              <w:top w:w="60" w:type="dxa"/>
              <w:left w:w="110" w:type="dxa"/>
              <w:bottom w:w="60" w:type="dxa"/>
              <w:right w:w="110" w:type="dxa"/>
            </w:tcMar>
            <w:vAlign w:val="top"/>
          </w:tcPr>
          <w:p>
            <w:pPr>
              <w:spacing w:after="20"/>
            </w:pPr>
            <w:r>
              <w:rPr>
                <w:sz w:val="17"/>
              </w:rPr>
              <w:t>Internal inquiry→EDRS</w:t>
            </w:r>
          </w:p>
        </w:tc>
        <w:tc>
          <w:tcPr>
            <w:tcW w:type="dxa" w:w="2160"/>
            <w:shd w:val="clear" w:color="auto" w:fill="EAF1F6"/>
            <w:tcMar>
              <w:top w:w="60" w:type="dxa"/>
              <w:left w:w="110" w:type="dxa"/>
              <w:bottom w:w="60" w:type="dxa"/>
              <w:right w:w="110" w:type="dxa"/>
            </w:tcMar>
            <w:vAlign w:val="top"/>
          </w:tcPr>
          <w:p>
            <w:pPr>
              <w:spacing w:after="20"/>
            </w:pPr>
            <w:r>
              <w:rPr>
                <w:sz w:val="17"/>
              </w:rPr>
              <w:t>IC action / s.27/s.36</w:t>
            </w:r>
          </w:p>
        </w:tc>
      </w:tr>
      <w:tr>
        <w:tc>
          <w:tcPr>
            <w:tcW w:type="dxa" w:w="2016"/>
            <w:tcMar>
              <w:top w:w="60" w:type="dxa"/>
              <w:left w:w="110" w:type="dxa"/>
              <w:bottom w:w="60" w:type="dxa"/>
              <w:right w:w="110" w:type="dxa"/>
            </w:tcMar>
            <w:vAlign w:val="top"/>
          </w:tcPr>
          <w:p>
            <w:pPr>
              <w:spacing w:after="20"/>
            </w:pPr>
            <w:r>
              <w:rPr>
                <w:b/>
                <w:sz w:val="17"/>
              </w:rPr>
              <w:t>Consumer</w:t>
            </w:r>
          </w:p>
        </w:tc>
        <w:tc>
          <w:tcPr>
            <w:tcW w:type="dxa" w:w="2736"/>
            <w:tcMar>
              <w:top w:w="60" w:type="dxa"/>
              <w:left w:w="110" w:type="dxa"/>
              <w:bottom w:w="60" w:type="dxa"/>
              <w:right w:w="110" w:type="dxa"/>
            </w:tcMar>
            <w:vAlign w:val="top"/>
          </w:tcPr>
          <w:p>
            <w:pPr>
              <w:spacing w:after="20"/>
            </w:pPr>
            <w:r>
              <w:rPr>
                <w:sz w:val="17"/>
              </w:rPr>
              <w:t>Consumer Protection Act</w:t>
            </w:r>
          </w:p>
        </w:tc>
        <w:tc>
          <w:tcPr>
            <w:tcW w:type="dxa" w:w="2448"/>
            <w:tcMar>
              <w:top w:w="60" w:type="dxa"/>
              <w:left w:w="110" w:type="dxa"/>
              <w:bottom w:w="60" w:type="dxa"/>
              <w:right w:w="110" w:type="dxa"/>
            </w:tcMar>
            <w:vAlign w:val="top"/>
          </w:tcPr>
          <w:p>
            <w:pPr>
              <w:spacing w:after="20"/>
            </w:pPr>
            <w:r>
              <w:rPr>
                <w:sz w:val="17"/>
              </w:rPr>
              <w:t>Mediation/conciliation</w:t>
            </w:r>
          </w:p>
        </w:tc>
        <w:tc>
          <w:tcPr>
            <w:tcW w:type="dxa" w:w="2160"/>
            <w:tcMar>
              <w:top w:w="60" w:type="dxa"/>
              <w:left w:w="110" w:type="dxa"/>
              <w:bottom w:w="60" w:type="dxa"/>
              <w:right w:w="110" w:type="dxa"/>
            </w:tcMar>
            <w:vAlign w:val="top"/>
          </w:tcPr>
          <w:p>
            <w:pPr>
              <w:spacing w:after="20"/>
            </w:pPr>
            <w:r>
              <w:rPr>
                <w:sz w:val="17"/>
              </w:rPr>
              <w:t>s.27 / commission</w:t>
            </w:r>
          </w:p>
        </w:tc>
      </w:tr>
      <w:tr>
        <w:tc>
          <w:tcPr>
            <w:tcW w:type="dxa" w:w="2016"/>
            <w:shd w:val="clear" w:color="auto" w:fill="EAF1F6"/>
            <w:tcMar>
              <w:top w:w="60" w:type="dxa"/>
              <w:left w:w="110" w:type="dxa"/>
              <w:bottom w:w="60" w:type="dxa"/>
              <w:right w:w="110" w:type="dxa"/>
            </w:tcMar>
            <w:vAlign w:val="top"/>
          </w:tcPr>
          <w:p>
            <w:pPr>
              <w:spacing w:after="20"/>
            </w:pPr>
            <w:r>
              <w:rPr>
                <w:b/>
                <w:sz w:val="17"/>
              </w:rPr>
              <w:t>Securities</w:t>
            </w:r>
          </w:p>
        </w:tc>
        <w:tc>
          <w:tcPr>
            <w:tcW w:type="dxa" w:w="2736"/>
            <w:shd w:val="clear" w:color="auto" w:fill="EAF1F6"/>
            <w:tcMar>
              <w:top w:w="60" w:type="dxa"/>
              <w:left w:w="110" w:type="dxa"/>
              <w:bottom w:w="60" w:type="dxa"/>
              <w:right w:w="110" w:type="dxa"/>
            </w:tcMar>
            <w:vAlign w:val="top"/>
          </w:tcPr>
          <w:p>
            <w:pPr>
              <w:spacing w:after="20"/>
            </w:pPr>
            <w:r>
              <w:rPr>
                <w:sz w:val="17"/>
              </w:rPr>
              <w:t>SEBI ODR circular</w:t>
            </w:r>
          </w:p>
        </w:tc>
        <w:tc>
          <w:tcPr>
            <w:tcW w:type="dxa" w:w="2448"/>
            <w:shd w:val="clear" w:color="auto" w:fill="EAF1F6"/>
            <w:tcMar>
              <w:top w:w="60" w:type="dxa"/>
              <w:left w:w="110" w:type="dxa"/>
              <w:bottom w:w="60" w:type="dxa"/>
              <w:right w:w="110" w:type="dxa"/>
            </w:tcMar>
            <w:vAlign w:val="top"/>
          </w:tcPr>
          <w:p>
            <w:pPr>
              <w:spacing w:after="20"/>
            </w:pPr>
            <w:r>
              <w:rPr>
                <w:sz w:val="17"/>
              </w:rPr>
              <w:t>Conciliation→arbitration</w:t>
            </w:r>
          </w:p>
        </w:tc>
        <w:tc>
          <w:tcPr>
            <w:tcW w:type="dxa" w:w="2160"/>
            <w:shd w:val="clear" w:color="auto" w:fill="EAF1F6"/>
            <w:tcMar>
              <w:top w:w="60" w:type="dxa"/>
              <w:left w:w="110" w:type="dxa"/>
              <w:bottom w:w="60" w:type="dxa"/>
              <w:right w:w="110" w:type="dxa"/>
            </w:tcMar>
            <w:vAlign w:val="top"/>
          </w:tcPr>
          <w:p>
            <w:pPr>
              <w:spacing w:after="20"/>
            </w:pPr>
            <w:r>
              <w:rPr>
                <w:sz w:val="17"/>
              </w:rPr>
              <w:t>s.36 award</w:t>
            </w:r>
          </w:p>
        </w:tc>
      </w:tr>
      <w:tr>
        <w:tc>
          <w:tcPr>
            <w:tcW w:type="dxa" w:w="2016"/>
            <w:tcMar>
              <w:top w:w="60" w:type="dxa"/>
              <w:left w:w="110" w:type="dxa"/>
              <w:bottom w:w="60" w:type="dxa"/>
              <w:right w:w="110" w:type="dxa"/>
            </w:tcMar>
            <w:vAlign w:val="top"/>
          </w:tcPr>
          <w:p>
            <w:pPr>
              <w:spacing w:after="20"/>
            </w:pPr>
            <w:r>
              <w:rPr>
                <w:b/>
                <w:sz w:val="17"/>
              </w:rPr>
              <w:t>International</w:t>
            </w:r>
          </w:p>
        </w:tc>
        <w:tc>
          <w:tcPr>
            <w:tcW w:type="dxa" w:w="2736"/>
            <w:tcMar>
              <w:top w:w="60" w:type="dxa"/>
              <w:left w:w="110" w:type="dxa"/>
              <w:bottom w:w="60" w:type="dxa"/>
              <w:right w:w="110" w:type="dxa"/>
            </w:tcMar>
            <w:vAlign w:val="top"/>
          </w:tcPr>
          <w:p>
            <w:pPr>
              <w:spacing w:after="20"/>
            </w:pPr>
            <w:r>
              <w:rPr>
                <w:sz w:val="17"/>
              </w:rPr>
              <w:t>NY &amp; Singapore Conventions</w:t>
            </w:r>
          </w:p>
        </w:tc>
        <w:tc>
          <w:tcPr>
            <w:tcW w:type="dxa" w:w="2448"/>
            <w:tcMar>
              <w:top w:w="60" w:type="dxa"/>
              <w:left w:w="110" w:type="dxa"/>
              <w:bottom w:w="60" w:type="dxa"/>
              <w:right w:w="110" w:type="dxa"/>
            </w:tcMar>
            <w:vAlign w:val="top"/>
          </w:tcPr>
          <w:p>
            <w:pPr>
              <w:spacing w:after="20"/>
            </w:pPr>
            <w:r>
              <w:rPr>
                <w:sz w:val="17"/>
              </w:rPr>
              <w:t>Arbitration/mediation</w:t>
            </w:r>
          </w:p>
        </w:tc>
        <w:tc>
          <w:tcPr>
            <w:tcW w:type="dxa" w:w="2160"/>
            <w:tcMar>
              <w:top w:w="60" w:type="dxa"/>
              <w:left w:w="110" w:type="dxa"/>
              <w:bottom w:w="60" w:type="dxa"/>
              <w:right w:w="110" w:type="dxa"/>
            </w:tcMar>
            <w:vAlign w:val="top"/>
          </w:tcPr>
          <w:p>
            <w:pPr>
              <w:spacing w:after="20"/>
            </w:pPr>
            <w:r>
              <w:rPr>
                <w:sz w:val="17"/>
              </w:rPr>
              <w:t>Convention packaging</w:t>
            </w:r>
          </w:p>
        </w:tc>
      </w:tr>
    </w:tbl>
    <w:p>
      <w:pPr>
        <w:spacing w:after="40"/>
      </w:pPr>
    </w:p>
    <w:p>
      <w:pPr>
        <w:spacing w:after="120"/>
      </w:pPr>
      <w:r>
        <w:rPr>
          <w:b w:val="0"/>
          <w:color w:val="5A6B7B"/>
          <w:sz w:val="18"/>
        </w:rPr>
        <w:t>End of EQR-03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