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D · LEGAL &amp; COMPLIANCE</w:t>
      </w:r>
    </w:p>
    <w:p>
      <w:pPr>
        <w:pStyle w:val="Title"/>
        <w:pBdr>
          <w:bottom w:val="single" w:sz="20" w:space="6" w:color="B98A2E"/>
        </w:pBdr>
      </w:pPr>
      <w:r>
        <w:t>Legal, Regulatory &amp; Enforcement Framework</w:t>
      </w:r>
    </w:p>
    <w:p>
      <w:pPr>
        <w:spacing w:after="280"/>
      </w:pPr>
      <w:r>
        <w:rPr>
          <w:i/>
          <w:color w:val="5A6B7B"/>
          <w:sz w:val="25"/>
        </w:rPr>
        <w:t>The law Equator Resolution encodes — arbitration, mediation, MSME, commercial, family, consumer, company, securities and data-protection statutes — and, critically, how the platform executes and enforces awards and settlements in India and across borders.</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EQR-04</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Legal, Regulatory &amp; Enforcement Framework</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General Counsel / Legal-Ops</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EQR-02 (engine) · EQR-03 (modules) · EQR-14 (DPDP/security)</w:t>
            </w:r>
          </w:p>
        </w:tc>
      </w:tr>
      <w:tr>
        <w:tc>
          <w:tcPr>
            <w:tcW w:type="dxa" w:w="2880"/>
            <w:tcMar>
              <w:top w:w="60" w:type="dxa"/>
              <w:left w:w="110" w:type="dxa"/>
              <w:bottom w:w="60" w:type="dxa"/>
              <w:right w:w="110" w:type="dxa"/>
            </w:tcMar>
            <w:vAlign w:val="top"/>
          </w:tcPr>
          <w:p>
            <w:pPr>
              <w:spacing w:after="20"/>
            </w:pPr>
            <w:r>
              <w:rPr>
                <w:b/>
                <w:sz w:val="19"/>
              </w:rPr>
              <w:t>Caveat</w:t>
            </w:r>
          </w:p>
        </w:tc>
        <w:tc>
          <w:tcPr>
            <w:tcW w:type="dxa" w:w="6480"/>
            <w:tcMar>
              <w:top w:w="60" w:type="dxa"/>
              <w:left w:w="110" w:type="dxa"/>
              <w:bottom w:w="60" w:type="dxa"/>
              <w:right w:w="110" w:type="dxa"/>
            </w:tcMar>
            <w:vAlign w:val="top"/>
          </w:tcPr>
          <w:p>
            <w:pPr>
              <w:spacing w:after="20"/>
            </w:pPr>
            <w:r>
              <w:rPr>
                <w:sz w:val="19"/>
              </w:rPr>
              <w:t>Statement of the framework the platform encodes; NOT legal advice for any specific matter. Statutory positions are dated; re-verify before external use.</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 &amp; How to Use</w:t>
      </w:r>
    </w:p>
    <w:p>
      <w:pPr>
        <w:spacing w:after="120"/>
      </w:pPr>
      <w:r>
        <w:rPr>
          <w:b w:val="0"/>
        </w:rPr>
        <w:t>This document is the legal reference the platform is built against. For each statute it states what the platform must encode and where that behaviour lives; it then consolidates the most important and most-requested part — how an outcome is executed and enforced. It is written for the legal team, the architects who translate law into rulesets, and reviewers who must see the platform is compliant by construction.</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Currency note.  </w:t>
            </w:r>
            <w:r>
              <w:rPr>
                <w:color w:val="1A1A1A"/>
                <w:sz w:val="19"/>
              </w:rPr>
              <w:t>Positions are stated as at July 2026. The Arbitration &amp; Conciliation (Amendment) Bill 2024 remains a draft (not enacted); India has signed but not ratified the Singapore Convention on Mediation. The platform is designed to adopt both the moment they take effect, via configuration.</w:t>
            </w:r>
          </w:p>
        </w:tc>
      </w:tr>
    </w:tbl>
    <w:p>
      <w:pPr>
        <w:spacing w:after="40"/>
      </w:pPr>
    </w:p>
    <w:p>
      <w:pPr>
        <w:pStyle w:val="Heading1"/>
      </w:pPr>
      <w:r>
        <w:t>2. The Indian ADR Statutory Frame — Overview</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6"/>
              </w:rPr>
              <w:t>Statute / instrument</w:t>
            </w:r>
          </w:p>
        </w:tc>
        <w:tc>
          <w:tcPr>
            <w:tcW w:type="dxa" w:w="3456"/>
            <w:shd w:val="clear" w:color="auto" w:fill="0B2E4F"/>
            <w:tcMar>
              <w:top w:w="60" w:type="dxa"/>
              <w:left w:w="110" w:type="dxa"/>
              <w:bottom w:w="60" w:type="dxa"/>
              <w:right w:w="110" w:type="dxa"/>
            </w:tcMar>
            <w:vAlign w:val="center"/>
          </w:tcPr>
          <w:p>
            <w:pPr>
              <w:spacing w:after="20"/>
            </w:pPr>
            <w:r>
              <w:rPr>
                <w:b/>
                <w:color w:val="FFFFFF"/>
                <w:sz w:val="16"/>
              </w:rPr>
              <w:t>Core relevance</w:t>
            </w:r>
          </w:p>
        </w:tc>
        <w:tc>
          <w:tcPr>
            <w:tcW w:type="dxa" w:w="3024"/>
            <w:shd w:val="clear" w:color="auto" w:fill="0B2E4F"/>
            <w:tcMar>
              <w:top w:w="60" w:type="dxa"/>
              <w:left w:w="110" w:type="dxa"/>
              <w:bottom w:w="60" w:type="dxa"/>
              <w:right w:w="110" w:type="dxa"/>
            </w:tcMar>
            <w:vAlign w:val="center"/>
          </w:tcPr>
          <w:p>
            <w:pPr>
              <w:spacing w:after="20"/>
            </w:pPr>
            <w:r>
              <w:rPr>
                <w:b/>
                <w:color w:val="FFFFFF"/>
                <w:sz w:val="16"/>
              </w:rPr>
              <w:t>Platform encoding</w:t>
            </w:r>
          </w:p>
        </w:tc>
      </w:tr>
      <w:tr>
        <w:tc>
          <w:tcPr>
            <w:tcW w:type="dxa" w:w="2880"/>
            <w:tcMar>
              <w:top w:w="60" w:type="dxa"/>
              <w:left w:w="110" w:type="dxa"/>
              <w:bottom w:w="60" w:type="dxa"/>
              <w:right w:w="110" w:type="dxa"/>
            </w:tcMar>
            <w:vAlign w:val="top"/>
          </w:tcPr>
          <w:p>
            <w:pPr>
              <w:spacing w:after="20"/>
            </w:pPr>
            <w:r>
              <w:rPr>
                <w:b/>
                <w:sz w:val="16"/>
              </w:rPr>
              <w:t>Arbitration &amp; Conciliation Act 1996</w:t>
            </w:r>
          </w:p>
        </w:tc>
        <w:tc>
          <w:tcPr>
            <w:tcW w:type="dxa" w:w="3456"/>
            <w:tcMar>
              <w:top w:w="60" w:type="dxa"/>
              <w:left w:w="110" w:type="dxa"/>
              <w:bottom w:w="60" w:type="dxa"/>
              <w:right w:w="110" w:type="dxa"/>
            </w:tcMar>
            <w:vAlign w:val="top"/>
          </w:tcPr>
          <w:p>
            <w:pPr>
              <w:spacing w:after="20"/>
            </w:pPr>
            <w:r>
              <w:rPr>
                <w:sz w:val="16"/>
              </w:rPr>
              <w:t>Arbitration &amp; conciliation; awards; enforcement (s.36)</w:t>
            </w:r>
          </w:p>
        </w:tc>
        <w:tc>
          <w:tcPr>
            <w:tcW w:type="dxa" w:w="3024"/>
            <w:tcMar>
              <w:top w:w="60" w:type="dxa"/>
              <w:left w:w="110" w:type="dxa"/>
              <w:bottom w:w="60" w:type="dxa"/>
              <w:right w:w="110" w:type="dxa"/>
            </w:tcMar>
            <w:vAlign w:val="top"/>
          </w:tcPr>
          <w:p>
            <w:pPr>
              <w:spacing w:after="20"/>
            </w:pPr>
            <w:r>
              <w:rPr>
                <w:sz w:val="16"/>
              </w:rPr>
              <w:t>EQR-02 §7, §13; arbitration ruleset</w:t>
            </w:r>
          </w:p>
        </w:tc>
      </w:tr>
      <w:tr>
        <w:tc>
          <w:tcPr>
            <w:tcW w:type="dxa" w:w="2880"/>
            <w:shd w:val="clear" w:color="auto" w:fill="EAF1F6"/>
            <w:tcMar>
              <w:top w:w="60" w:type="dxa"/>
              <w:left w:w="110" w:type="dxa"/>
              <w:bottom w:w="60" w:type="dxa"/>
              <w:right w:w="110" w:type="dxa"/>
            </w:tcMar>
            <w:vAlign w:val="top"/>
          </w:tcPr>
          <w:p>
            <w:pPr>
              <w:spacing w:after="20"/>
            </w:pPr>
            <w:r>
              <w:rPr>
                <w:b/>
                <w:sz w:val="16"/>
              </w:rPr>
              <w:t>Mediation Act 2023</w:t>
            </w:r>
          </w:p>
        </w:tc>
        <w:tc>
          <w:tcPr>
            <w:tcW w:type="dxa" w:w="3456"/>
            <w:shd w:val="clear" w:color="auto" w:fill="EAF1F6"/>
            <w:tcMar>
              <w:top w:w="60" w:type="dxa"/>
              <w:left w:w="110" w:type="dxa"/>
              <w:bottom w:w="60" w:type="dxa"/>
              <w:right w:w="110" w:type="dxa"/>
            </w:tcMar>
            <w:vAlign w:val="top"/>
          </w:tcPr>
          <w:p>
            <w:pPr>
              <w:spacing w:after="20"/>
            </w:pPr>
            <w:r>
              <w:rPr>
                <w:sz w:val="16"/>
              </w:rPr>
              <w:t>Institutional/online mediation; MSA enforcement (s.27)</w:t>
            </w:r>
          </w:p>
        </w:tc>
        <w:tc>
          <w:tcPr>
            <w:tcW w:type="dxa" w:w="3024"/>
            <w:shd w:val="clear" w:color="auto" w:fill="EAF1F6"/>
            <w:tcMar>
              <w:top w:w="60" w:type="dxa"/>
              <w:left w:w="110" w:type="dxa"/>
              <w:bottom w:w="60" w:type="dxa"/>
              <w:right w:w="110" w:type="dxa"/>
            </w:tcMar>
            <w:vAlign w:val="top"/>
          </w:tcPr>
          <w:p>
            <w:pPr>
              <w:spacing w:after="20"/>
            </w:pPr>
            <w:r>
              <w:rPr>
                <w:sz w:val="16"/>
              </w:rPr>
              <w:t>EQR-02 §6, §13; mediation ruleset</w:t>
            </w:r>
          </w:p>
        </w:tc>
      </w:tr>
      <w:tr>
        <w:tc>
          <w:tcPr>
            <w:tcW w:type="dxa" w:w="2880"/>
            <w:tcMar>
              <w:top w:w="60" w:type="dxa"/>
              <w:left w:w="110" w:type="dxa"/>
              <w:bottom w:w="60" w:type="dxa"/>
              <w:right w:w="110" w:type="dxa"/>
            </w:tcMar>
            <w:vAlign w:val="top"/>
          </w:tcPr>
          <w:p>
            <w:pPr>
              <w:spacing w:after="20"/>
            </w:pPr>
            <w:r>
              <w:rPr>
                <w:b/>
                <w:sz w:val="16"/>
              </w:rPr>
              <w:t>MSMED Act 2006</w:t>
            </w:r>
          </w:p>
        </w:tc>
        <w:tc>
          <w:tcPr>
            <w:tcW w:type="dxa" w:w="3456"/>
            <w:tcMar>
              <w:top w:w="60" w:type="dxa"/>
              <w:left w:w="110" w:type="dxa"/>
              <w:bottom w:w="60" w:type="dxa"/>
              <w:right w:w="110" w:type="dxa"/>
            </w:tcMar>
            <w:vAlign w:val="top"/>
          </w:tcPr>
          <w:p>
            <w:pPr>
              <w:spacing w:after="20"/>
            </w:pPr>
            <w:r>
              <w:rPr>
                <w:sz w:val="16"/>
              </w:rPr>
              <w:t>MSEFC conciliation→arbitration for delayed payments</w:t>
            </w:r>
          </w:p>
        </w:tc>
        <w:tc>
          <w:tcPr>
            <w:tcW w:type="dxa" w:w="3024"/>
            <w:tcMar>
              <w:top w:w="60" w:type="dxa"/>
              <w:left w:w="110" w:type="dxa"/>
              <w:bottom w:w="60" w:type="dxa"/>
              <w:right w:w="110" w:type="dxa"/>
            </w:tcMar>
            <w:vAlign w:val="top"/>
          </w:tcPr>
          <w:p>
            <w:pPr>
              <w:spacing w:after="20"/>
            </w:pPr>
            <w:r>
              <w:rPr>
                <w:sz w:val="16"/>
              </w:rPr>
              <w:t>EQR-03 §4; MSME sub-track</w:t>
            </w:r>
          </w:p>
        </w:tc>
      </w:tr>
      <w:tr>
        <w:tc>
          <w:tcPr>
            <w:tcW w:type="dxa" w:w="2880"/>
            <w:shd w:val="clear" w:color="auto" w:fill="EAF1F6"/>
            <w:tcMar>
              <w:top w:w="60" w:type="dxa"/>
              <w:left w:w="110" w:type="dxa"/>
              <w:bottom w:w="60" w:type="dxa"/>
              <w:right w:w="110" w:type="dxa"/>
            </w:tcMar>
            <w:vAlign w:val="top"/>
          </w:tcPr>
          <w:p>
            <w:pPr>
              <w:spacing w:after="20"/>
            </w:pPr>
            <w:r>
              <w:rPr>
                <w:b/>
                <w:sz w:val="16"/>
              </w:rPr>
              <w:t>Commercial Courts Act 2015</w:t>
            </w:r>
          </w:p>
        </w:tc>
        <w:tc>
          <w:tcPr>
            <w:tcW w:type="dxa" w:w="3456"/>
            <w:shd w:val="clear" w:color="auto" w:fill="EAF1F6"/>
            <w:tcMar>
              <w:top w:w="60" w:type="dxa"/>
              <w:left w:w="110" w:type="dxa"/>
              <w:bottom w:w="60" w:type="dxa"/>
              <w:right w:w="110" w:type="dxa"/>
            </w:tcMar>
            <w:vAlign w:val="top"/>
          </w:tcPr>
          <w:p>
            <w:pPr>
              <w:spacing w:after="20"/>
            </w:pPr>
            <w:r>
              <w:rPr>
                <w:sz w:val="16"/>
              </w:rPr>
              <w:t>Pre-institution mediation (s.12A); commercial thresholds</w:t>
            </w:r>
          </w:p>
        </w:tc>
        <w:tc>
          <w:tcPr>
            <w:tcW w:type="dxa" w:w="3024"/>
            <w:shd w:val="clear" w:color="auto" w:fill="EAF1F6"/>
            <w:tcMar>
              <w:top w:w="60" w:type="dxa"/>
              <w:left w:w="110" w:type="dxa"/>
              <w:bottom w:w="60" w:type="dxa"/>
              <w:right w:w="110" w:type="dxa"/>
            </w:tcMar>
            <w:vAlign w:val="top"/>
          </w:tcPr>
          <w:p>
            <w:pPr>
              <w:spacing w:after="20"/>
            </w:pPr>
            <w:r>
              <w:rPr>
                <w:sz w:val="16"/>
              </w:rPr>
              <w:t>EQR-03 §4; commercial ruleset</w:t>
            </w:r>
          </w:p>
        </w:tc>
      </w:tr>
      <w:tr>
        <w:tc>
          <w:tcPr>
            <w:tcW w:type="dxa" w:w="2880"/>
            <w:tcMar>
              <w:top w:w="60" w:type="dxa"/>
              <w:left w:w="110" w:type="dxa"/>
              <w:bottom w:w="60" w:type="dxa"/>
              <w:right w:w="110" w:type="dxa"/>
            </w:tcMar>
            <w:vAlign w:val="top"/>
          </w:tcPr>
          <w:p>
            <w:pPr>
              <w:spacing w:after="20"/>
            </w:pPr>
            <w:r>
              <w:rPr>
                <w:b/>
                <w:sz w:val="16"/>
              </w:rPr>
              <w:t>Family Courts Act 1984</w:t>
            </w:r>
          </w:p>
        </w:tc>
        <w:tc>
          <w:tcPr>
            <w:tcW w:type="dxa" w:w="3456"/>
            <w:tcMar>
              <w:top w:w="60" w:type="dxa"/>
              <w:left w:w="110" w:type="dxa"/>
              <w:bottom w:w="60" w:type="dxa"/>
              <w:right w:w="110" w:type="dxa"/>
            </w:tcMar>
            <w:vAlign w:val="top"/>
          </w:tcPr>
          <w:p>
            <w:pPr>
              <w:spacing w:after="20"/>
            </w:pPr>
            <w:r>
              <w:rPr>
                <w:sz w:val="16"/>
              </w:rPr>
              <w:t>Duty to attempt settlement (s.9); family jurisdiction</w:t>
            </w:r>
          </w:p>
        </w:tc>
        <w:tc>
          <w:tcPr>
            <w:tcW w:type="dxa" w:w="3024"/>
            <w:tcMar>
              <w:top w:w="60" w:type="dxa"/>
              <w:left w:w="110" w:type="dxa"/>
              <w:bottom w:w="60" w:type="dxa"/>
              <w:right w:w="110" w:type="dxa"/>
            </w:tcMar>
            <w:vAlign w:val="top"/>
          </w:tcPr>
          <w:p>
            <w:pPr>
              <w:spacing w:after="20"/>
            </w:pPr>
            <w:r>
              <w:rPr>
                <w:sz w:val="16"/>
              </w:rPr>
              <w:t>EQR-03 §2; family ruleset</w:t>
            </w:r>
          </w:p>
        </w:tc>
      </w:tr>
      <w:tr>
        <w:tc>
          <w:tcPr>
            <w:tcW w:type="dxa" w:w="2880"/>
            <w:shd w:val="clear" w:color="auto" w:fill="EAF1F6"/>
            <w:tcMar>
              <w:top w:w="60" w:type="dxa"/>
              <w:left w:w="110" w:type="dxa"/>
              <w:bottom w:w="60" w:type="dxa"/>
              <w:right w:w="110" w:type="dxa"/>
            </w:tcMar>
            <w:vAlign w:val="top"/>
          </w:tcPr>
          <w:p>
            <w:pPr>
              <w:spacing w:after="20"/>
            </w:pPr>
            <w:r>
              <w:rPr>
                <w:b/>
                <w:sz w:val="16"/>
              </w:rPr>
              <w:t>Consumer Protection Act 2019</w:t>
            </w:r>
          </w:p>
        </w:tc>
        <w:tc>
          <w:tcPr>
            <w:tcW w:type="dxa" w:w="3456"/>
            <w:shd w:val="clear" w:color="auto" w:fill="EAF1F6"/>
            <w:tcMar>
              <w:top w:w="60" w:type="dxa"/>
              <w:left w:w="110" w:type="dxa"/>
              <w:bottom w:w="60" w:type="dxa"/>
              <w:right w:w="110" w:type="dxa"/>
            </w:tcMar>
            <w:vAlign w:val="top"/>
          </w:tcPr>
          <w:p>
            <w:pPr>
              <w:spacing w:after="20"/>
            </w:pPr>
            <w:r>
              <w:rPr>
                <w:sz w:val="16"/>
              </w:rPr>
              <w:t>Mediation cells; e-Daakhil</w:t>
            </w:r>
          </w:p>
        </w:tc>
        <w:tc>
          <w:tcPr>
            <w:tcW w:type="dxa" w:w="3024"/>
            <w:shd w:val="clear" w:color="auto" w:fill="EAF1F6"/>
            <w:tcMar>
              <w:top w:w="60" w:type="dxa"/>
              <w:left w:w="110" w:type="dxa"/>
              <w:bottom w:w="60" w:type="dxa"/>
              <w:right w:w="110" w:type="dxa"/>
            </w:tcMar>
            <w:vAlign w:val="top"/>
          </w:tcPr>
          <w:p>
            <w:pPr>
              <w:spacing w:after="20"/>
            </w:pPr>
            <w:r>
              <w:rPr>
                <w:sz w:val="16"/>
              </w:rPr>
              <w:t>EQR-03 §6; consumer ruleset</w:t>
            </w:r>
          </w:p>
        </w:tc>
      </w:tr>
      <w:tr>
        <w:tc>
          <w:tcPr>
            <w:tcW w:type="dxa" w:w="2880"/>
            <w:tcMar>
              <w:top w:w="60" w:type="dxa"/>
              <w:left w:w="110" w:type="dxa"/>
              <w:bottom w:w="60" w:type="dxa"/>
              <w:right w:w="110" w:type="dxa"/>
            </w:tcMar>
            <w:vAlign w:val="top"/>
          </w:tcPr>
          <w:p>
            <w:pPr>
              <w:spacing w:after="20"/>
            </w:pPr>
            <w:r>
              <w:rPr>
                <w:b/>
                <w:sz w:val="16"/>
              </w:rPr>
              <w:t>Companies Act 2013</w:t>
            </w:r>
          </w:p>
        </w:tc>
        <w:tc>
          <w:tcPr>
            <w:tcW w:type="dxa" w:w="3456"/>
            <w:tcMar>
              <w:top w:w="60" w:type="dxa"/>
              <w:left w:w="110" w:type="dxa"/>
              <w:bottom w:w="60" w:type="dxa"/>
              <w:right w:w="110" w:type="dxa"/>
            </w:tcMar>
            <w:vAlign w:val="top"/>
          </w:tcPr>
          <w:p>
            <w:pPr>
              <w:spacing w:after="20"/>
            </w:pPr>
            <w:r>
              <w:rPr>
                <w:sz w:val="16"/>
              </w:rPr>
              <w:t>Arbitrable corporate/contract matters; NCLT carve-outs</w:t>
            </w:r>
          </w:p>
        </w:tc>
        <w:tc>
          <w:tcPr>
            <w:tcW w:type="dxa" w:w="3024"/>
            <w:tcMar>
              <w:top w:w="60" w:type="dxa"/>
              <w:left w:w="110" w:type="dxa"/>
              <w:bottom w:w="60" w:type="dxa"/>
              <w:right w:w="110" w:type="dxa"/>
            </w:tcMar>
            <w:vAlign w:val="top"/>
          </w:tcPr>
          <w:p>
            <w:pPr>
              <w:spacing w:after="20"/>
            </w:pPr>
            <w:r>
              <w:rPr>
                <w:sz w:val="16"/>
              </w:rPr>
              <w:t>EQR-03 §4; arbitrability flags</w:t>
            </w:r>
          </w:p>
        </w:tc>
      </w:tr>
      <w:tr>
        <w:tc>
          <w:tcPr>
            <w:tcW w:type="dxa" w:w="2880"/>
            <w:shd w:val="clear" w:color="auto" w:fill="EAF1F6"/>
            <w:tcMar>
              <w:top w:w="60" w:type="dxa"/>
              <w:left w:w="110" w:type="dxa"/>
              <w:bottom w:w="60" w:type="dxa"/>
              <w:right w:w="110" w:type="dxa"/>
            </w:tcMar>
            <w:vAlign w:val="top"/>
          </w:tcPr>
          <w:p>
            <w:pPr>
              <w:spacing w:after="20"/>
            </w:pPr>
            <w:r>
              <w:rPr>
                <w:b/>
                <w:sz w:val="16"/>
              </w:rPr>
              <w:t>SEBI ODR framework</w:t>
            </w:r>
          </w:p>
        </w:tc>
        <w:tc>
          <w:tcPr>
            <w:tcW w:type="dxa" w:w="3456"/>
            <w:shd w:val="clear" w:color="auto" w:fill="EAF1F6"/>
            <w:tcMar>
              <w:top w:w="60" w:type="dxa"/>
              <w:left w:w="110" w:type="dxa"/>
              <w:bottom w:w="60" w:type="dxa"/>
              <w:right w:w="110" w:type="dxa"/>
            </w:tcMar>
            <w:vAlign w:val="top"/>
          </w:tcPr>
          <w:p>
            <w:pPr>
              <w:spacing w:after="20"/>
            </w:pPr>
            <w:r>
              <w:rPr>
                <w:sz w:val="16"/>
              </w:rPr>
              <w:t>Securities disputes; SMART-ODR sequence</w:t>
            </w:r>
          </w:p>
        </w:tc>
        <w:tc>
          <w:tcPr>
            <w:tcW w:type="dxa" w:w="3024"/>
            <w:shd w:val="clear" w:color="auto" w:fill="EAF1F6"/>
            <w:tcMar>
              <w:top w:w="60" w:type="dxa"/>
              <w:left w:w="110" w:type="dxa"/>
              <w:bottom w:w="60" w:type="dxa"/>
              <w:right w:w="110" w:type="dxa"/>
            </w:tcMar>
            <w:vAlign w:val="top"/>
          </w:tcPr>
          <w:p>
            <w:pPr>
              <w:spacing w:after="20"/>
            </w:pPr>
            <w:r>
              <w:rPr>
                <w:sz w:val="16"/>
              </w:rPr>
              <w:t>EQR-03 §7; SEBI track</w:t>
            </w:r>
          </w:p>
        </w:tc>
      </w:tr>
      <w:tr>
        <w:tc>
          <w:tcPr>
            <w:tcW w:type="dxa" w:w="2880"/>
            <w:tcMar>
              <w:top w:w="60" w:type="dxa"/>
              <w:left w:w="110" w:type="dxa"/>
              <w:bottom w:w="60" w:type="dxa"/>
              <w:right w:w="110" w:type="dxa"/>
            </w:tcMar>
            <w:vAlign w:val="top"/>
          </w:tcPr>
          <w:p>
            <w:pPr>
              <w:spacing w:after="20"/>
            </w:pPr>
            <w:r>
              <w:rPr>
                <w:b/>
                <w:sz w:val="16"/>
              </w:rPr>
              <w:t>RBI / NPCI ODR mandates</w:t>
            </w:r>
          </w:p>
        </w:tc>
        <w:tc>
          <w:tcPr>
            <w:tcW w:type="dxa" w:w="3456"/>
            <w:tcMar>
              <w:top w:w="60" w:type="dxa"/>
              <w:left w:w="110" w:type="dxa"/>
              <w:bottom w:w="60" w:type="dxa"/>
              <w:right w:w="110" w:type="dxa"/>
            </w:tcMar>
            <w:vAlign w:val="top"/>
          </w:tcPr>
          <w:p>
            <w:pPr>
              <w:spacing w:after="20"/>
            </w:pPr>
            <w:r>
              <w:rPr>
                <w:sz w:val="16"/>
              </w:rPr>
              <w:t>Payment &amp; lending grievance/ODR duties</w:t>
            </w:r>
          </w:p>
        </w:tc>
        <w:tc>
          <w:tcPr>
            <w:tcW w:type="dxa" w:w="3024"/>
            <w:tcMar>
              <w:top w:w="60" w:type="dxa"/>
              <w:left w:w="110" w:type="dxa"/>
              <w:bottom w:w="60" w:type="dxa"/>
              <w:right w:w="110" w:type="dxa"/>
            </w:tcMar>
            <w:vAlign w:val="top"/>
          </w:tcPr>
          <w:p>
            <w:pPr>
              <w:spacing w:after="20"/>
            </w:pPr>
            <w:r>
              <w:rPr>
                <w:sz w:val="16"/>
              </w:rPr>
              <w:t>EQR-03 §3; EQR-06</w:t>
            </w:r>
          </w:p>
        </w:tc>
      </w:tr>
      <w:tr>
        <w:tc>
          <w:tcPr>
            <w:tcW w:type="dxa" w:w="2880"/>
            <w:shd w:val="clear" w:color="auto" w:fill="EAF1F6"/>
            <w:tcMar>
              <w:top w:w="60" w:type="dxa"/>
              <w:left w:w="110" w:type="dxa"/>
              <w:bottom w:w="60" w:type="dxa"/>
              <w:right w:w="110" w:type="dxa"/>
            </w:tcMar>
            <w:vAlign w:val="top"/>
          </w:tcPr>
          <w:p>
            <w:pPr>
              <w:spacing w:after="20"/>
            </w:pPr>
            <w:r>
              <w:rPr>
                <w:b/>
                <w:sz w:val="16"/>
              </w:rPr>
              <w:t>DPDP Act 2023 + Rules 2025</w:t>
            </w:r>
          </w:p>
        </w:tc>
        <w:tc>
          <w:tcPr>
            <w:tcW w:type="dxa" w:w="3456"/>
            <w:shd w:val="clear" w:color="auto" w:fill="EAF1F6"/>
            <w:tcMar>
              <w:top w:w="60" w:type="dxa"/>
              <w:left w:w="110" w:type="dxa"/>
              <w:bottom w:w="60" w:type="dxa"/>
              <w:right w:w="110" w:type="dxa"/>
            </w:tcMar>
            <w:vAlign w:val="top"/>
          </w:tcPr>
          <w:p>
            <w:pPr>
              <w:spacing w:after="20"/>
            </w:pPr>
            <w:r>
              <w:rPr>
                <w:sz w:val="16"/>
              </w:rPr>
              <w:t>Personal-data processing, consent, breach</w:t>
            </w:r>
          </w:p>
        </w:tc>
        <w:tc>
          <w:tcPr>
            <w:tcW w:type="dxa" w:w="3024"/>
            <w:shd w:val="clear" w:color="auto" w:fill="EAF1F6"/>
            <w:tcMar>
              <w:top w:w="60" w:type="dxa"/>
              <w:left w:w="110" w:type="dxa"/>
              <w:bottom w:w="60" w:type="dxa"/>
              <w:right w:w="110" w:type="dxa"/>
            </w:tcMar>
            <w:vAlign w:val="top"/>
          </w:tcPr>
          <w:p>
            <w:pPr>
              <w:spacing w:after="20"/>
            </w:pPr>
            <w:r>
              <w:rPr>
                <w:sz w:val="16"/>
              </w:rPr>
              <w:t>EQR-14</w:t>
            </w:r>
          </w:p>
        </w:tc>
      </w:tr>
      <w:tr>
        <w:tc>
          <w:tcPr>
            <w:tcW w:type="dxa" w:w="2880"/>
            <w:tcMar>
              <w:top w:w="60" w:type="dxa"/>
              <w:left w:w="110" w:type="dxa"/>
              <w:bottom w:w="60" w:type="dxa"/>
              <w:right w:w="110" w:type="dxa"/>
            </w:tcMar>
            <w:vAlign w:val="top"/>
          </w:tcPr>
          <w:p>
            <w:pPr>
              <w:spacing w:after="20"/>
            </w:pPr>
            <w:r>
              <w:rPr>
                <w:b/>
                <w:sz w:val="16"/>
              </w:rPr>
              <w:t>IT Act 2000</w:t>
            </w:r>
          </w:p>
        </w:tc>
        <w:tc>
          <w:tcPr>
            <w:tcW w:type="dxa" w:w="3456"/>
            <w:tcMar>
              <w:top w:w="60" w:type="dxa"/>
              <w:left w:w="110" w:type="dxa"/>
              <w:bottom w:w="60" w:type="dxa"/>
              <w:right w:w="110" w:type="dxa"/>
            </w:tcMar>
            <w:vAlign w:val="top"/>
          </w:tcPr>
          <w:p>
            <w:pPr>
              <w:spacing w:after="20"/>
            </w:pPr>
            <w:r>
              <w:rPr>
                <w:sz w:val="16"/>
              </w:rPr>
              <w:t>e-sign / electronic records validity</w:t>
            </w:r>
          </w:p>
        </w:tc>
        <w:tc>
          <w:tcPr>
            <w:tcW w:type="dxa" w:w="3024"/>
            <w:tcMar>
              <w:top w:w="60" w:type="dxa"/>
              <w:left w:w="110" w:type="dxa"/>
              <w:bottom w:w="60" w:type="dxa"/>
              <w:right w:w="110" w:type="dxa"/>
            </w:tcMar>
            <w:vAlign w:val="top"/>
          </w:tcPr>
          <w:p>
            <w:pPr>
              <w:spacing w:after="20"/>
            </w:pPr>
            <w:r>
              <w:rPr>
                <w:sz w:val="16"/>
              </w:rPr>
              <w:t>§13 (eSign/eStamp)</w:t>
            </w:r>
          </w:p>
        </w:tc>
      </w:tr>
      <w:tr>
        <w:tc>
          <w:tcPr>
            <w:tcW w:type="dxa" w:w="2880"/>
            <w:shd w:val="clear" w:color="auto" w:fill="EAF1F6"/>
            <w:tcMar>
              <w:top w:w="60" w:type="dxa"/>
              <w:left w:w="110" w:type="dxa"/>
              <w:bottom w:w="60" w:type="dxa"/>
              <w:right w:w="110" w:type="dxa"/>
            </w:tcMar>
            <w:vAlign w:val="top"/>
          </w:tcPr>
          <w:p>
            <w:pPr>
              <w:spacing w:after="20"/>
            </w:pPr>
            <w:r>
              <w:rPr>
                <w:b/>
                <w:sz w:val="16"/>
              </w:rPr>
              <w:t>New York &amp; Singapore Conventions</w:t>
            </w:r>
          </w:p>
        </w:tc>
        <w:tc>
          <w:tcPr>
            <w:tcW w:type="dxa" w:w="3456"/>
            <w:shd w:val="clear" w:color="auto" w:fill="EAF1F6"/>
            <w:tcMar>
              <w:top w:w="60" w:type="dxa"/>
              <w:left w:w="110" w:type="dxa"/>
              <w:bottom w:w="60" w:type="dxa"/>
              <w:right w:w="110" w:type="dxa"/>
            </w:tcMar>
            <w:vAlign w:val="top"/>
          </w:tcPr>
          <w:p>
            <w:pPr>
              <w:spacing w:after="20"/>
            </w:pPr>
            <w:r>
              <w:rPr>
                <w:sz w:val="16"/>
              </w:rPr>
              <w:t>Cross-border enforcement of awards/settlements</w:t>
            </w:r>
          </w:p>
        </w:tc>
        <w:tc>
          <w:tcPr>
            <w:tcW w:type="dxa" w:w="3024"/>
            <w:shd w:val="clear" w:color="auto" w:fill="EAF1F6"/>
            <w:tcMar>
              <w:top w:w="60" w:type="dxa"/>
              <w:left w:w="110" w:type="dxa"/>
              <w:bottom w:w="60" w:type="dxa"/>
              <w:right w:w="110" w:type="dxa"/>
            </w:tcMar>
            <w:vAlign w:val="top"/>
          </w:tcPr>
          <w:p>
            <w:pPr>
              <w:spacing w:after="20"/>
            </w:pPr>
            <w:r>
              <w:rPr>
                <w:sz w:val="16"/>
              </w:rPr>
              <w:t>§12; international module</w:t>
            </w:r>
          </w:p>
        </w:tc>
      </w:tr>
    </w:tbl>
    <w:p>
      <w:pPr>
        <w:spacing w:after="40"/>
      </w:pPr>
    </w:p>
    <w:p>
      <w:pPr>
        <w:pStyle w:val="Heading1"/>
      </w:pPr>
      <w:r>
        <w:t>3. Arbitration &amp; Conciliation Act 1996</w:t>
      </w:r>
    </w:p>
    <w:p>
      <w:pPr>
        <w:spacing w:after="120"/>
      </w:pPr>
      <w:r>
        <w:rPr>
          <w:b w:val="0"/>
        </w:rPr>
        <w:t>The backbone statute for arbitration (Part I) and conciliation (Part III) in India, based on the UNCITRAL Model Law.</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1584"/>
            <w:shd w:val="clear" w:color="auto" w:fill="0B2E4F"/>
            <w:tcMar>
              <w:top w:w="60" w:type="dxa"/>
              <w:left w:w="110" w:type="dxa"/>
              <w:bottom w:w="60" w:type="dxa"/>
              <w:right w:w="110" w:type="dxa"/>
            </w:tcMar>
            <w:vAlign w:val="center"/>
          </w:tcPr>
          <w:p>
            <w:pPr>
              <w:spacing w:after="20"/>
            </w:pPr>
            <w:r>
              <w:rPr>
                <w:b/>
                <w:color w:val="FFFFFF"/>
                <w:sz w:val="16"/>
              </w:rPr>
              <w:t>Provision</w:t>
            </w:r>
          </w:p>
        </w:tc>
        <w:tc>
          <w:tcPr>
            <w:tcW w:type="dxa" w:w="3888"/>
            <w:shd w:val="clear" w:color="auto" w:fill="0B2E4F"/>
            <w:tcMar>
              <w:top w:w="60" w:type="dxa"/>
              <w:left w:w="110" w:type="dxa"/>
              <w:bottom w:w="60" w:type="dxa"/>
              <w:right w:w="110" w:type="dxa"/>
            </w:tcMar>
            <w:vAlign w:val="center"/>
          </w:tcPr>
          <w:p>
            <w:pPr>
              <w:spacing w:after="20"/>
            </w:pPr>
            <w:r>
              <w:rPr>
                <w:b/>
                <w:color w:val="FFFFFF"/>
                <w:sz w:val="16"/>
              </w:rPr>
              <w:t>Effect</w:t>
            </w:r>
          </w:p>
        </w:tc>
        <w:tc>
          <w:tcPr>
            <w:tcW w:type="dxa" w:w="3888"/>
            <w:shd w:val="clear" w:color="auto" w:fill="0B2E4F"/>
            <w:tcMar>
              <w:top w:w="60" w:type="dxa"/>
              <w:left w:w="110" w:type="dxa"/>
              <w:bottom w:w="60" w:type="dxa"/>
              <w:right w:w="110" w:type="dxa"/>
            </w:tcMar>
            <w:vAlign w:val="center"/>
          </w:tcPr>
          <w:p>
            <w:pPr>
              <w:spacing w:after="20"/>
            </w:pPr>
            <w:r>
              <w:rPr>
                <w:b/>
                <w:color w:val="FFFFFF"/>
                <w:sz w:val="16"/>
              </w:rPr>
              <w:t>Platform behaviour</w:t>
            </w:r>
          </w:p>
        </w:tc>
      </w:tr>
      <w:tr>
        <w:tc>
          <w:tcPr>
            <w:tcW w:type="dxa" w:w="1584"/>
            <w:tcMar>
              <w:top w:w="60" w:type="dxa"/>
              <w:left w:w="110" w:type="dxa"/>
              <w:bottom w:w="60" w:type="dxa"/>
              <w:right w:w="110" w:type="dxa"/>
            </w:tcMar>
            <w:vAlign w:val="top"/>
          </w:tcPr>
          <w:p>
            <w:pPr>
              <w:spacing w:after="20"/>
            </w:pPr>
            <w:r>
              <w:rPr>
                <w:b/>
                <w:sz w:val="16"/>
              </w:rPr>
              <w:t>s.7</w:t>
            </w:r>
          </w:p>
        </w:tc>
        <w:tc>
          <w:tcPr>
            <w:tcW w:type="dxa" w:w="3888"/>
            <w:tcMar>
              <w:top w:w="60" w:type="dxa"/>
              <w:left w:w="110" w:type="dxa"/>
              <w:bottom w:w="60" w:type="dxa"/>
              <w:right w:w="110" w:type="dxa"/>
            </w:tcMar>
            <w:vAlign w:val="top"/>
          </w:tcPr>
          <w:p>
            <w:pPr>
              <w:spacing w:after="20"/>
            </w:pPr>
            <w:r>
              <w:rPr>
                <w:sz w:val="16"/>
              </w:rPr>
              <w:t>Arbitration agreement (writing; can be electronic)</w:t>
            </w:r>
          </w:p>
        </w:tc>
        <w:tc>
          <w:tcPr>
            <w:tcW w:type="dxa" w:w="3888"/>
            <w:tcMar>
              <w:top w:w="60" w:type="dxa"/>
              <w:left w:w="110" w:type="dxa"/>
              <w:bottom w:w="60" w:type="dxa"/>
              <w:right w:w="110" w:type="dxa"/>
            </w:tcMar>
            <w:vAlign w:val="top"/>
          </w:tcPr>
          <w:p>
            <w:pPr>
              <w:spacing w:after="20"/>
            </w:pPr>
            <w:r>
              <w:rPr>
                <w:sz w:val="16"/>
              </w:rPr>
              <w:t>Capture clause/agreement at filing; support digitally-signed agreements</w:t>
            </w:r>
          </w:p>
        </w:tc>
      </w:tr>
      <w:tr>
        <w:tc>
          <w:tcPr>
            <w:tcW w:type="dxa" w:w="1584"/>
            <w:shd w:val="clear" w:color="auto" w:fill="EAF1F6"/>
            <w:tcMar>
              <w:top w:w="60" w:type="dxa"/>
              <w:left w:w="110" w:type="dxa"/>
              <w:bottom w:w="60" w:type="dxa"/>
              <w:right w:w="110" w:type="dxa"/>
            </w:tcMar>
            <w:vAlign w:val="top"/>
          </w:tcPr>
          <w:p>
            <w:pPr>
              <w:spacing w:after="20"/>
            </w:pPr>
            <w:r>
              <w:rPr>
                <w:b/>
                <w:sz w:val="16"/>
              </w:rPr>
              <w:t>s.11</w:t>
            </w:r>
          </w:p>
        </w:tc>
        <w:tc>
          <w:tcPr>
            <w:tcW w:type="dxa" w:w="3888"/>
            <w:shd w:val="clear" w:color="auto" w:fill="EAF1F6"/>
            <w:tcMar>
              <w:top w:w="60" w:type="dxa"/>
              <w:left w:w="110" w:type="dxa"/>
              <w:bottom w:w="60" w:type="dxa"/>
              <w:right w:w="110" w:type="dxa"/>
            </w:tcMar>
            <w:vAlign w:val="top"/>
          </w:tcPr>
          <w:p>
            <w:pPr>
              <w:spacing w:after="20"/>
            </w:pPr>
            <w:r>
              <w:rPr>
                <w:sz w:val="16"/>
              </w:rPr>
              <w:t>Appointment of arbitrators</w:t>
            </w:r>
          </w:p>
        </w:tc>
        <w:tc>
          <w:tcPr>
            <w:tcW w:type="dxa" w:w="3888"/>
            <w:shd w:val="clear" w:color="auto" w:fill="EAF1F6"/>
            <w:tcMar>
              <w:top w:w="60" w:type="dxa"/>
              <w:left w:w="110" w:type="dxa"/>
              <w:bottom w:w="60" w:type="dxa"/>
              <w:right w:w="110" w:type="dxa"/>
            </w:tcMar>
            <w:vAlign w:val="top"/>
          </w:tcPr>
          <w:p>
            <w:pPr>
              <w:spacing w:after="20"/>
            </w:pPr>
            <w:r>
              <w:rPr>
                <w:sz w:val="16"/>
              </w:rPr>
              <w:t>Allocation + nomination workflow; conflict check</w:t>
            </w:r>
          </w:p>
        </w:tc>
      </w:tr>
      <w:tr>
        <w:tc>
          <w:tcPr>
            <w:tcW w:type="dxa" w:w="1584"/>
            <w:tcMar>
              <w:top w:w="60" w:type="dxa"/>
              <w:left w:w="110" w:type="dxa"/>
              <w:bottom w:w="60" w:type="dxa"/>
              <w:right w:w="110" w:type="dxa"/>
            </w:tcMar>
            <w:vAlign w:val="top"/>
          </w:tcPr>
          <w:p>
            <w:pPr>
              <w:spacing w:after="20"/>
            </w:pPr>
            <w:r>
              <w:rPr>
                <w:b/>
                <w:sz w:val="16"/>
              </w:rPr>
              <w:t>s.12/13</w:t>
            </w:r>
          </w:p>
        </w:tc>
        <w:tc>
          <w:tcPr>
            <w:tcW w:type="dxa" w:w="3888"/>
            <w:tcMar>
              <w:top w:w="60" w:type="dxa"/>
              <w:left w:w="110" w:type="dxa"/>
              <w:bottom w:w="60" w:type="dxa"/>
              <w:right w:w="110" w:type="dxa"/>
            </w:tcMar>
            <w:vAlign w:val="top"/>
          </w:tcPr>
          <w:p>
            <w:pPr>
              <w:spacing w:after="20"/>
            </w:pPr>
            <w:r>
              <w:rPr>
                <w:sz w:val="16"/>
              </w:rPr>
              <w:t>Grounds &amp; procedure for challenge to arbitrator</w:t>
            </w:r>
          </w:p>
        </w:tc>
        <w:tc>
          <w:tcPr>
            <w:tcW w:type="dxa" w:w="3888"/>
            <w:tcMar>
              <w:top w:w="60" w:type="dxa"/>
              <w:left w:w="110" w:type="dxa"/>
              <w:bottom w:w="60" w:type="dxa"/>
              <w:right w:w="110" w:type="dxa"/>
            </w:tcMar>
            <w:vAlign w:val="top"/>
          </w:tcPr>
          <w:p>
            <w:pPr>
              <w:spacing w:after="20"/>
            </w:pPr>
            <w:r>
              <w:rPr>
                <w:sz w:val="16"/>
              </w:rPr>
              <w:t>Disclosure capture; challenge workflow</w:t>
            </w:r>
          </w:p>
        </w:tc>
      </w:tr>
      <w:tr>
        <w:tc>
          <w:tcPr>
            <w:tcW w:type="dxa" w:w="1584"/>
            <w:shd w:val="clear" w:color="auto" w:fill="EAF1F6"/>
            <w:tcMar>
              <w:top w:w="60" w:type="dxa"/>
              <w:left w:w="110" w:type="dxa"/>
              <w:bottom w:w="60" w:type="dxa"/>
              <w:right w:w="110" w:type="dxa"/>
            </w:tcMar>
            <w:vAlign w:val="top"/>
          </w:tcPr>
          <w:p>
            <w:pPr>
              <w:spacing w:after="20"/>
            </w:pPr>
            <w:r>
              <w:rPr>
                <w:b/>
                <w:sz w:val="16"/>
              </w:rPr>
              <w:t>s.16</w:t>
            </w:r>
          </w:p>
        </w:tc>
        <w:tc>
          <w:tcPr>
            <w:tcW w:type="dxa" w:w="3888"/>
            <w:shd w:val="clear" w:color="auto" w:fill="EAF1F6"/>
            <w:tcMar>
              <w:top w:w="60" w:type="dxa"/>
              <w:left w:w="110" w:type="dxa"/>
              <w:bottom w:w="60" w:type="dxa"/>
              <w:right w:w="110" w:type="dxa"/>
            </w:tcMar>
            <w:vAlign w:val="top"/>
          </w:tcPr>
          <w:p>
            <w:pPr>
              <w:spacing w:after="20"/>
            </w:pPr>
            <w:r>
              <w:rPr>
                <w:sz w:val="16"/>
              </w:rPr>
              <w:t>Competence-competence (tribunal rules on jurisdiction)</w:t>
            </w:r>
          </w:p>
        </w:tc>
        <w:tc>
          <w:tcPr>
            <w:tcW w:type="dxa" w:w="3888"/>
            <w:shd w:val="clear" w:color="auto" w:fill="EAF1F6"/>
            <w:tcMar>
              <w:top w:w="60" w:type="dxa"/>
              <w:left w:w="110" w:type="dxa"/>
              <w:bottom w:w="60" w:type="dxa"/>
              <w:right w:w="110" w:type="dxa"/>
            </w:tcMar>
            <w:vAlign w:val="top"/>
          </w:tcPr>
          <w:p>
            <w:pPr>
              <w:spacing w:after="20"/>
            </w:pPr>
            <w:r>
              <w:rPr>
                <w:sz w:val="16"/>
              </w:rPr>
              <w:t>Jurisdiction plea recorded and decided in-proceeding</w:t>
            </w:r>
          </w:p>
        </w:tc>
      </w:tr>
      <w:tr>
        <w:tc>
          <w:tcPr>
            <w:tcW w:type="dxa" w:w="1584"/>
            <w:tcMar>
              <w:top w:w="60" w:type="dxa"/>
              <w:left w:w="110" w:type="dxa"/>
              <w:bottom w:w="60" w:type="dxa"/>
              <w:right w:w="110" w:type="dxa"/>
            </w:tcMar>
            <w:vAlign w:val="top"/>
          </w:tcPr>
          <w:p>
            <w:pPr>
              <w:spacing w:after="20"/>
            </w:pPr>
            <w:r>
              <w:rPr>
                <w:b/>
                <w:sz w:val="16"/>
              </w:rPr>
              <w:t>s.17</w:t>
            </w:r>
          </w:p>
        </w:tc>
        <w:tc>
          <w:tcPr>
            <w:tcW w:type="dxa" w:w="3888"/>
            <w:tcMar>
              <w:top w:w="60" w:type="dxa"/>
              <w:left w:w="110" w:type="dxa"/>
              <w:bottom w:w="60" w:type="dxa"/>
              <w:right w:w="110" w:type="dxa"/>
            </w:tcMar>
            <w:vAlign w:val="top"/>
          </w:tcPr>
          <w:p>
            <w:pPr>
              <w:spacing w:after="20"/>
            </w:pPr>
            <w:r>
              <w:rPr>
                <w:sz w:val="16"/>
              </w:rPr>
              <w:t>Interim measures by tribunal</w:t>
            </w:r>
          </w:p>
        </w:tc>
        <w:tc>
          <w:tcPr>
            <w:tcW w:type="dxa" w:w="3888"/>
            <w:tcMar>
              <w:top w:w="60" w:type="dxa"/>
              <w:left w:w="110" w:type="dxa"/>
              <w:bottom w:w="60" w:type="dxa"/>
              <w:right w:w="110" w:type="dxa"/>
            </w:tcMar>
            <w:vAlign w:val="top"/>
          </w:tcPr>
          <w:p>
            <w:pPr>
              <w:spacing w:after="20"/>
            </w:pPr>
            <w:r>
              <w:rPr>
                <w:sz w:val="16"/>
              </w:rPr>
              <w:t>Interim-order workflow, served and logged</w:t>
            </w:r>
          </w:p>
        </w:tc>
      </w:tr>
      <w:tr>
        <w:tc>
          <w:tcPr>
            <w:tcW w:type="dxa" w:w="1584"/>
            <w:shd w:val="clear" w:color="auto" w:fill="EAF1F6"/>
            <w:tcMar>
              <w:top w:w="60" w:type="dxa"/>
              <w:left w:w="110" w:type="dxa"/>
              <w:bottom w:w="60" w:type="dxa"/>
              <w:right w:w="110" w:type="dxa"/>
            </w:tcMar>
            <w:vAlign w:val="top"/>
          </w:tcPr>
          <w:p>
            <w:pPr>
              <w:spacing w:after="20"/>
            </w:pPr>
            <w:r>
              <w:rPr>
                <w:b/>
                <w:sz w:val="16"/>
              </w:rPr>
              <w:t>s.29A</w:t>
            </w:r>
          </w:p>
        </w:tc>
        <w:tc>
          <w:tcPr>
            <w:tcW w:type="dxa" w:w="3888"/>
            <w:shd w:val="clear" w:color="auto" w:fill="EAF1F6"/>
            <w:tcMar>
              <w:top w:w="60" w:type="dxa"/>
              <w:left w:w="110" w:type="dxa"/>
              <w:bottom w:w="60" w:type="dxa"/>
              <w:right w:w="110" w:type="dxa"/>
            </w:tcMar>
            <w:vAlign w:val="top"/>
          </w:tcPr>
          <w:p>
            <w:pPr>
              <w:spacing w:after="20"/>
            </w:pPr>
            <w:r>
              <w:rPr>
                <w:sz w:val="16"/>
              </w:rPr>
              <w:t>Time-limit for award (12m +6m by consent)</w:t>
            </w:r>
          </w:p>
        </w:tc>
        <w:tc>
          <w:tcPr>
            <w:tcW w:type="dxa" w:w="3888"/>
            <w:shd w:val="clear" w:color="auto" w:fill="EAF1F6"/>
            <w:tcMar>
              <w:top w:w="60" w:type="dxa"/>
              <w:left w:w="110" w:type="dxa"/>
              <w:bottom w:w="60" w:type="dxa"/>
              <w:right w:w="110" w:type="dxa"/>
            </w:tcMar>
            <w:vAlign w:val="top"/>
          </w:tcPr>
          <w:p>
            <w:pPr>
              <w:spacing w:after="20"/>
            </w:pPr>
            <w:r>
              <w:rPr>
                <w:sz w:val="16"/>
              </w:rPr>
              <w:t>Award clock with pre-breach alerts; institutional extension</w:t>
            </w:r>
          </w:p>
        </w:tc>
      </w:tr>
      <w:tr>
        <w:tc>
          <w:tcPr>
            <w:tcW w:type="dxa" w:w="1584"/>
            <w:tcMar>
              <w:top w:w="60" w:type="dxa"/>
              <w:left w:w="110" w:type="dxa"/>
              <w:bottom w:w="60" w:type="dxa"/>
              <w:right w:w="110" w:type="dxa"/>
            </w:tcMar>
            <w:vAlign w:val="top"/>
          </w:tcPr>
          <w:p>
            <w:pPr>
              <w:spacing w:after="20"/>
            </w:pPr>
            <w:r>
              <w:rPr>
                <w:b/>
                <w:sz w:val="16"/>
              </w:rPr>
              <w:t>s.31</w:t>
            </w:r>
          </w:p>
        </w:tc>
        <w:tc>
          <w:tcPr>
            <w:tcW w:type="dxa" w:w="3888"/>
            <w:tcMar>
              <w:top w:w="60" w:type="dxa"/>
              <w:left w:w="110" w:type="dxa"/>
              <w:bottom w:w="60" w:type="dxa"/>
              <w:right w:w="110" w:type="dxa"/>
            </w:tcMar>
            <w:vAlign w:val="top"/>
          </w:tcPr>
          <w:p>
            <w:pPr>
              <w:spacing w:after="20"/>
            </w:pPr>
            <w:r>
              <w:rPr>
                <w:sz w:val="16"/>
              </w:rPr>
              <w:t>Form &amp; content of award (reasoned, signed, dated, seat)</w:t>
            </w:r>
          </w:p>
        </w:tc>
        <w:tc>
          <w:tcPr>
            <w:tcW w:type="dxa" w:w="3888"/>
            <w:tcMar>
              <w:top w:w="60" w:type="dxa"/>
              <w:left w:w="110" w:type="dxa"/>
              <w:bottom w:w="60" w:type="dxa"/>
              <w:right w:w="110" w:type="dxa"/>
            </w:tcMar>
            <w:vAlign w:val="top"/>
          </w:tcPr>
          <w:p>
            <w:pPr>
              <w:spacing w:after="20"/>
            </w:pPr>
            <w:r>
              <w:rPr>
                <w:sz w:val="16"/>
              </w:rPr>
              <w:t>Award template; maker–checker; e-sign; e-stamp; timestamp</w:t>
            </w:r>
          </w:p>
        </w:tc>
      </w:tr>
      <w:tr>
        <w:tc>
          <w:tcPr>
            <w:tcW w:type="dxa" w:w="1584"/>
            <w:shd w:val="clear" w:color="auto" w:fill="EAF1F6"/>
            <w:tcMar>
              <w:top w:w="60" w:type="dxa"/>
              <w:left w:w="110" w:type="dxa"/>
              <w:bottom w:w="60" w:type="dxa"/>
              <w:right w:w="110" w:type="dxa"/>
            </w:tcMar>
            <w:vAlign w:val="top"/>
          </w:tcPr>
          <w:p>
            <w:pPr>
              <w:spacing w:after="20"/>
            </w:pPr>
            <w:r>
              <w:rPr>
                <w:b/>
                <w:sz w:val="16"/>
              </w:rPr>
              <w:t>s.33</w:t>
            </w:r>
          </w:p>
        </w:tc>
        <w:tc>
          <w:tcPr>
            <w:tcW w:type="dxa" w:w="3888"/>
            <w:shd w:val="clear" w:color="auto" w:fill="EAF1F6"/>
            <w:tcMar>
              <w:top w:w="60" w:type="dxa"/>
              <w:left w:w="110" w:type="dxa"/>
              <w:bottom w:w="60" w:type="dxa"/>
              <w:right w:w="110" w:type="dxa"/>
            </w:tcMar>
            <w:vAlign w:val="top"/>
          </w:tcPr>
          <w:p>
            <w:pPr>
              <w:spacing w:after="20"/>
            </w:pPr>
            <w:r>
              <w:rPr>
                <w:sz w:val="16"/>
              </w:rPr>
              <w:t>Correction/interpretation/additional award</w:t>
            </w:r>
          </w:p>
        </w:tc>
        <w:tc>
          <w:tcPr>
            <w:tcW w:type="dxa" w:w="3888"/>
            <w:shd w:val="clear" w:color="auto" w:fill="EAF1F6"/>
            <w:tcMar>
              <w:top w:w="60" w:type="dxa"/>
              <w:left w:w="110" w:type="dxa"/>
              <w:bottom w:w="60" w:type="dxa"/>
              <w:right w:w="110" w:type="dxa"/>
            </w:tcMar>
            <w:vAlign w:val="top"/>
          </w:tcPr>
          <w:p>
            <w:pPr>
              <w:spacing w:after="20"/>
            </w:pPr>
            <w:r>
              <w:rPr>
                <w:sz w:val="16"/>
              </w:rPr>
              <w:t>Post-award correction workflow</w:t>
            </w:r>
          </w:p>
        </w:tc>
      </w:tr>
      <w:tr>
        <w:tc>
          <w:tcPr>
            <w:tcW w:type="dxa" w:w="1584"/>
            <w:tcMar>
              <w:top w:w="60" w:type="dxa"/>
              <w:left w:w="110" w:type="dxa"/>
              <w:bottom w:w="60" w:type="dxa"/>
              <w:right w:w="110" w:type="dxa"/>
            </w:tcMar>
            <w:vAlign w:val="top"/>
          </w:tcPr>
          <w:p>
            <w:pPr>
              <w:spacing w:after="20"/>
            </w:pPr>
            <w:r>
              <w:rPr>
                <w:b/>
                <w:sz w:val="16"/>
              </w:rPr>
              <w:t>s.34</w:t>
            </w:r>
          </w:p>
        </w:tc>
        <w:tc>
          <w:tcPr>
            <w:tcW w:type="dxa" w:w="3888"/>
            <w:tcMar>
              <w:top w:w="60" w:type="dxa"/>
              <w:left w:w="110" w:type="dxa"/>
              <w:bottom w:w="60" w:type="dxa"/>
              <w:right w:w="110" w:type="dxa"/>
            </w:tcMar>
            <w:vAlign w:val="top"/>
          </w:tcPr>
          <w:p>
            <w:pPr>
              <w:spacing w:after="20"/>
            </w:pPr>
            <w:r>
              <w:rPr>
                <w:sz w:val="16"/>
              </w:rPr>
              <w:t>Application to set aside (3m +30d)</w:t>
            </w:r>
          </w:p>
        </w:tc>
        <w:tc>
          <w:tcPr>
            <w:tcW w:type="dxa" w:w="3888"/>
            <w:tcMar>
              <w:top w:w="60" w:type="dxa"/>
              <w:left w:w="110" w:type="dxa"/>
              <w:bottom w:w="60" w:type="dxa"/>
              <w:right w:w="110" w:type="dxa"/>
            </w:tcMar>
            <w:vAlign w:val="top"/>
          </w:tcPr>
          <w:p>
            <w:pPr>
              <w:spacing w:after="20"/>
            </w:pPr>
            <w:r>
              <w:rPr>
                <w:sz w:val="16"/>
              </w:rPr>
              <w:t>Challenge clock; enforceability gated on expiry</w:t>
            </w:r>
          </w:p>
        </w:tc>
      </w:tr>
      <w:tr>
        <w:tc>
          <w:tcPr>
            <w:tcW w:type="dxa" w:w="1584"/>
            <w:shd w:val="clear" w:color="auto" w:fill="EAF1F6"/>
            <w:tcMar>
              <w:top w:w="60" w:type="dxa"/>
              <w:left w:w="110" w:type="dxa"/>
              <w:bottom w:w="60" w:type="dxa"/>
              <w:right w:w="110" w:type="dxa"/>
            </w:tcMar>
            <w:vAlign w:val="top"/>
          </w:tcPr>
          <w:p>
            <w:pPr>
              <w:spacing w:after="20"/>
            </w:pPr>
            <w:r>
              <w:rPr>
                <w:b/>
                <w:sz w:val="16"/>
              </w:rPr>
              <w:t>s.36</w:t>
            </w:r>
          </w:p>
        </w:tc>
        <w:tc>
          <w:tcPr>
            <w:tcW w:type="dxa" w:w="3888"/>
            <w:shd w:val="clear" w:color="auto" w:fill="EAF1F6"/>
            <w:tcMar>
              <w:top w:w="60" w:type="dxa"/>
              <w:left w:w="110" w:type="dxa"/>
              <w:bottom w:w="60" w:type="dxa"/>
              <w:right w:w="110" w:type="dxa"/>
            </w:tcMar>
            <w:vAlign w:val="top"/>
          </w:tcPr>
          <w:p>
            <w:pPr>
              <w:spacing w:after="20"/>
            </w:pPr>
            <w:r>
              <w:rPr>
                <w:sz w:val="16"/>
              </w:rPr>
              <w:t>Enforcement of award as a decree</w:t>
            </w:r>
          </w:p>
        </w:tc>
        <w:tc>
          <w:tcPr>
            <w:tcW w:type="dxa" w:w="3888"/>
            <w:shd w:val="clear" w:color="auto" w:fill="EAF1F6"/>
            <w:tcMar>
              <w:top w:w="60" w:type="dxa"/>
              <w:left w:w="110" w:type="dxa"/>
              <w:bottom w:w="60" w:type="dxa"/>
              <w:right w:w="110" w:type="dxa"/>
            </w:tcMar>
            <w:vAlign w:val="top"/>
          </w:tcPr>
          <w:p>
            <w:pPr>
              <w:spacing w:after="20"/>
            </w:pPr>
            <w:r>
              <w:rPr>
                <w:sz w:val="16"/>
              </w:rPr>
              <w:t>Execution bundle + e-Courts export (see §12)</w:t>
            </w:r>
          </w:p>
        </w:tc>
      </w:tr>
      <w:tr>
        <w:tc>
          <w:tcPr>
            <w:tcW w:type="dxa" w:w="1584"/>
            <w:tcMar>
              <w:top w:w="60" w:type="dxa"/>
              <w:left w:w="110" w:type="dxa"/>
              <w:bottom w:w="60" w:type="dxa"/>
              <w:right w:w="110" w:type="dxa"/>
            </w:tcMar>
            <w:vAlign w:val="top"/>
          </w:tcPr>
          <w:p>
            <w:pPr>
              <w:spacing w:after="20"/>
            </w:pPr>
            <w:r>
              <w:rPr>
                <w:b/>
                <w:sz w:val="16"/>
              </w:rPr>
              <w:t>ss.73–74</w:t>
            </w:r>
          </w:p>
        </w:tc>
        <w:tc>
          <w:tcPr>
            <w:tcW w:type="dxa" w:w="3888"/>
            <w:tcMar>
              <w:top w:w="60" w:type="dxa"/>
              <w:left w:w="110" w:type="dxa"/>
              <w:bottom w:w="60" w:type="dxa"/>
              <w:right w:w="110" w:type="dxa"/>
            </w:tcMar>
            <w:vAlign w:val="top"/>
          </w:tcPr>
          <w:p>
            <w:pPr>
              <w:spacing w:after="20"/>
            </w:pPr>
            <w:r>
              <w:rPr>
                <w:sz w:val="16"/>
              </w:rPr>
              <w:t>Settlement in conciliation = award on agreed terms</w:t>
            </w:r>
          </w:p>
        </w:tc>
        <w:tc>
          <w:tcPr>
            <w:tcW w:type="dxa" w:w="3888"/>
            <w:tcMar>
              <w:top w:w="60" w:type="dxa"/>
              <w:left w:w="110" w:type="dxa"/>
              <w:bottom w:w="60" w:type="dxa"/>
              <w:right w:w="110" w:type="dxa"/>
            </w:tcMar>
            <w:vAlign w:val="top"/>
          </w:tcPr>
          <w:p>
            <w:pPr>
              <w:spacing w:after="20"/>
            </w:pPr>
            <w:r>
              <w:rPr>
                <w:sz w:val="16"/>
              </w:rPr>
              <w:t>Conciliation settlement capture &amp; status</w:t>
            </w:r>
          </w:p>
        </w:tc>
      </w:tr>
    </w:tbl>
    <w:p>
      <w:pPr>
        <w:spacing w:after="40"/>
      </w:pPr>
    </w:p>
    <w:p>
      <w:pPr>
        <w:pStyle w:val="Heading3"/>
      </w:pPr>
      <w:r>
        <w:t>3.1 Proposed Amendment Bill 2024 (not yet law)</w:t>
      </w:r>
    </w:p>
    <w:p>
      <w:pPr>
        <w:spacing w:after="120"/>
      </w:pPr>
      <w:r>
        <w:rPr>
          <w:b w:val="0"/>
        </w:rPr>
        <w:t>The draft Bill would recognise arbitration conducted wholly or partly by audio-video electronic means, validate digitally-signed arbitration agreements, strengthen arbitral-institution powers (extend award time-limits, reduce arbitrator fees for tribunal-caused delay, substitute arbitrators), and emphasise institutional over ad-hoc arbitration. The platform is already built for audio-visual hearings and digitally-signed agreements, so adoption is a configuration change, not a rebuild. Treat as proposed until enacted.</w:t>
      </w:r>
    </w:p>
    <w:p>
      <w:pPr>
        <w:pStyle w:val="Heading1"/>
      </w:pPr>
      <w:r>
        <w:t>4. Mediation Act 2023</w:t>
      </w:r>
    </w:p>
    <w:p>
      <w:pPr>
        <w:spacing w:after="120"/>
      </w:pPr>
      <w:r>
        <w:rPr>
          <w:b w:val="0"/>
        </w:rPr>
        <w:t>India's first standalone mediation statute; establishes institutional and online mediation, the Mediation Council of India, and — decisively for ODR — direct enforceability of settlements.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1872"/>
            <w:shd w:val="clear" w:color="auto" w:fill="0B2E4F"/>
            <w:tcMar>
              <w:top w:w="60" w:type="dxa"/>
              <w:left w:w="110" w:type="dxa"/>
              <w:bottom w:w="60" w:type="dxa"/>
              <w:right w:w="110" w:type="dxa"/>
            </w:tcMar>
            <w:vAlign w:val="center"/>
          </w:tcPr>
          <w:p>
            <w:pPr>
              <w:spacing w:after="20"/>
            </w:pPr>
            <w:r>
              <w:rPr>
                <w:b/>
                <w:color w:val="FFFFFF"/>
                <w:sz w:val="18"/>
              </w:rPr>
              <w:t>Provision</w:t>
            </w:r>
          </w:p>
        </w:tc>
        <w:tc>
          <w:tcPr>
            <w:tcW w:type="dxa" w:w="7488"/>
            <w:shd w:val="clear" w:color="auto" w:fill="0B2E4F"/>
            <w:tcMar>
              <w:top w:w="60" w:type="dxa"/>
              <w:left w:w="110" w:type="dxa"/>
              <w:bottom w:w="60" w:type="dxa"/>
              <w:right w:w="110" w:type="dxa"/>
            </w:tcMar>
            <w:vAlign w:val="center"/>
          </w:tcPr>
          <w:p>
            <w:pPr>
              <w:spacing w:after="20"/>
            </w:pPr>
            <w:r>
              <w:rPr>
                <w:b/>
                <w:color w:val="FFFFFF"/>
                <w:sz w:val="18"/>
              </w:rPr>
              <w:t>Effect</w:t>
            </w:r>
          </w:p>
        </w:tc>
      </w:tr>
      <w:tr>
        <w:tc>
          <w:tcPr>
            <w:tcW w:type="dxa" w:w="1872"/>
            <w:tcMar>
              <w:top w:w="60" w:type="dxa"/>
              <w:left w:w="110" w:type="dxa"/>
              <w:bottom w:w="60" w:type="dxa"/>
              <w:right w:w="110" w:type="dxa"/>
            </w:tcMar>
            <w:vAlign w:val="top"/>
          </w:tcPr>
          <w:p>
            <w:pPr>
              <w:spacing w:after="20"/>
            </w:pPr>
            <w:r>
              <w:rPr>
                <w:b/>
                <w:sz w:val="18"/>
              </w:rPr>
              <w:t>s.5</w:t>
            </w:r>
          </w:p>
        </w:tc>
        <w:tc>
          <w:tcPr>
            <w:tcW w:type="dxa" w:w="7488"/>
            <w:tcMar>
              <w:top w:w="60" w:type="dxa"/>
              <w:left w:w="110" w:type="dxa"/>
              <w:bottom w:w="60" w:type="dxa"/>
              <w:right w:w="110" w:type="dxa"/>
            </w:tcMar>
            <w:vAlign w:val="top"/>
          </w:tcPr>
          <w:p>
            <w:pPr>
              <w:spacing w:after="20"/>
            </w:pPr>
            <w:r>
              <w:rPr>
                <w:sz w:val="18"/>
              </w:rPr>
              <w:t>Mediation agreement (may be a clause or a separate agreement)</w:t>
            </w:r>
          </w:p>
        </w:tc>
      </w:tr>
      <w:tr>
        <w:tc>
          <w:tcPr>
            <w:tcW w:type="dxa" w:w="1872"/>
            <w:shd w:val="clear" w:color="auto" w:fill="EAF1F6"/>
            <w:tcMar>
              <w:top w:w="60" w:type="dxa"/>
              <w:left w:w="110" w:type="dxa"/>
              <w:bottom w:w="60" w:type="dxa"/>
              <w:right w:w="110" w:type="dxa"/>
            </w:tcMar>
            <w:vAlign w:val="top"/>
          </w:tcPr>
          <w:p>
            <w:pPr>
              <w:spacing w:after="20"/>
            </w:pPr>
            <w:r>
              <w:rPr>
                <w:b/>
                <w:sz w:val="18"/>
              </w:rPr>
              <w:t>s.6 / Schedule I</w:t>
            </w:r>
          </w:p>
        </w:tc>
        <w:tc>
          <w:tcPr>
            <w:tcW w:type="dxa" w:w="7488"/>
            <w:shd w:val="clear" w:color="auto" w:fill="EAF1F6"/>
            <w:tcMar>
              <w:top w:w="60" w:type="dxa"/>
              <w:left w:w="110" w:type="dxa"/>
              <w:bottom w:w="60" w:type="dxa"/>
              <w:right w:w="110" w:type="dxa"/>
            </w:tcMar>
            <w:vAlign w:val="top"/>
          </w:tcPr>
          <w:p>
            <w:pPr>
              <w:spacing w:after="20"/>
            </w:pPr>
            <w:r>
              <w:rPr>
                <w:sz w:val="18"/>
              </w:rPr>
              <w:t>Disputes not fit for mediation (encoded as non-mediable flags)</w:t>
            </w:r>
          </w:p>
        </w:tc>
      </w:tr>
      <w:tr>
        <w:tc>
          <w:tcPr>
            <w:tcW w:type="dxa" w:w="1872"/>
            <w:tcMar>
              <w:top w:w="60" w:type="dxa"/>
              <w:left w:w="110" w:type="dxa"/>
              <w:bottom w:w="60" w:type="dxa"/>
              <w:right w:w="110" w:type="dxa"/>
            </w:tcMar>
            <w:vAlign w:val="top"/>
          </w:tcPr>
          <w:p>
            <w:pPr>
              <w:spacing w:after="20"/>
            </w:pPr>
            <w:r>
              <w:rPr>
                <w:b/>
                <w:sz w:val="18"/>
              </w:rPr>
              <w:t>Time-bound</w:t>
            </w:r>
          </w:p>
        </w:tc>
        <w:tc>
          <w:tcPr>
            <w:tcW w:type="dxa" w:w="7488"/>
            <w:tcMar>
              <w:top w:w="60" w:type="dxa"/>
              <w:left w:w="110" w:type="dxa"/>
              <w:bottom w:w="60" w:type="dxa"/>
              <w:right w:w="110" w:type="dxa"/>
            </w:tcMar>
            <w:vAlign w:val="top"/>
          </w:tcPr>
          <w:p>
            <w:pPr>
              <w:spacing w:after="20"/>
            </w:pPr>
            <w:r>
              <w:rPr>
                <w:sz w:val="18"/>
              </w:rPr>
              <w:t>Mediation within 120 days, extendable by 60 with consent</w:t>
            </w:r>
          </w:p>
        </w:tc>
      </w:tr>
      <w:tr>
        <w:tc>
          <w:tcPr>
            <w:tcW w:type="dxa" w:w="1872"/>
            <w:shd w:val="clear" w:color="auto" w:fill="EAF1F6"/>
            <w:tcMar>
              <w:top w:w="60" w:type="dxa"/>
              <w:left w:w="110" w:type="dxa"/>
              <w:bottom w:w="60" w:type="dxa"/>
              <w:right w:w="110" w:type="dxa"/>
            </w:tcMar>
            <w:vAlign w:val="top"/>
          </w:tcPr>
          <w:p>
            <w:pPr>
              <w:spacing w:after="20"/>
            </w:pPr>
            <w:r>
              <w:rPr>
                <w:b/>
                <w:sz w:val="18"/>
              </w:rPr>
              <w:t>s.22</w:t>
            </w:r>
          </w:p>
        </w:tc>
        <w:tc>
          <w:tcPr>
            <w:tcW w:type="dxa" w:w="7488"/>
            <w:shd w:val="clear" w:color="auto" w:fill="EAF1F6"/>
            <w:tcMar>
              <w:top w:w="60" w:type="dxa"/>
              <w:left w:w="110" w:type="dxa"/>
              <w:bottom w:w="60" w:type="dxa"/>
              <w:right w:w="110" w:type="dxa"/>
            </w:tcMar>
            <w:vAlign w:val="top"/>
          </w:tcPr>
          <w:p>
            <w:pPr>
              <w:spacing w:after="20"/>
            </w:pPr>
            <w:r>
              <w:rPr>
                <w:sz w:val="18"/>
              </w:rPr>
              <w:t>Confidentiality of mediation communications</w:t>
            </w:r>
          </w:p>
        </w:tc>
      </w:tr>
      <w:tr>
        <w:tc>
          <w:tcPr>
            <w:tcW w:type="dxa" w:w="1872"/>
            <w:tcMar>
              <w:top w:w="60" w:type="dxa"/>
              <w:left w:w="110" w:type="dxa"/>
              <w:bottom w:w="60" w:type="dxa"/>
              <w:right w:w="110" w:type="dxa"/>
            </w:tcMar>
            <w:vAlign w:val="top"/>
          </w:tcPr>
          <w:p>
            <w:pPr>
              <w:spacing w:after="20"/>
            </w:pPr>
            <w:r>
              <w:rPr>
                <w:b/>
                <w:sz w:val="18"/>
              </w:rPr>
              <w:t>s.27</w:t>
            </w:r>
          </w:p>
        </w:tc>
        <w:tc>
          <w:tcPr>
            <w:tcW w:type="dxa" w:w="7488"/>
            <w:tcMar>
              <w:top w:w="60" w:type="dxa"/>
              <w:left w:w="110" w:type="dxa"/>
              <w:bottom w:w="60" w:type="dxa"/>
              <w:right w:w="110" w:type="dxa"/>
            </w:tcMar>
            <w:vAlign w:val="top"/>
          </w:tcPr>
          <w:p>
            <w:pPr>
              <w:spacing w:after="20"/>
            </w:pPr>
            <w:r>
              <w:rPr>
                <w:sz w:val="18"/>
              </w:rPr>
              <w:t>Enforcement: signed + mediator-authenticated MSA is final, binding and enforceable as a court judgment/decree under the CPC 1908; usable as defence/set-off</w:t>
            </w:r>
          </w:p>
        </w:tc>
      </w:tr>
      <w:tr>
        <w:tc>
          <w:tcPr>
            <w:tcW w:type="dxa" w:w="1872"/>
            <w:shd w:val="clear" w:color="auto" w:fill="EAF1F6"/>
            <w:tcMar>
              <w:top w:w="60" w:type="dxa"/>
              <w:left w:w="110" w:type="dxa"/>
              <w:bottom w:w="60" w:type="dxa"/>
              <w:right w:w="110" w:type="dxa"/>
            </w:tcMar>
            <w:vAlign w:val="top"/>
          </w:tcPr>
          <w:p>
            <w:pPr>
              <w:spacing w:after="20"/>
            </w:pPr>
            <w:r>
              <w:rPr>
                <w:b/>
                <w:sz w:val="18"/>
              </w:rPr>
              <w:t>s.28</w:t>
            </w:r>
          </w:p>
        </w:tc>
        <w:tc>
          <w:tcPr>
            <w:tcW w:type="dxa" w:w="7488"/>
            <w:shd w:val="clear" w:color="auto" w:fill="EAF1F6"/>
            <w:tcMar>
              <w:top w:w="60" w:type="dxa"/>
              <w:left w:w="110" w:type="dxa"/>
              <w:bottom w:w="60" w:type="dxa"/>
              <w:right w:w="110" w:type="dxa"/>
            </w:tcMar>
            <w:vAlign w:val="top"/>
          </w:tcPr>
          <w:p>
            <w:pPr>
              <w:spacing w:after="20"/>
            </w:pPr>
            <w:r>
              <w:rPr>
                <w:sz w:val="18"/>
              </w:rPr>
              <w:t>Challenge only on fraud, corruption, impersonation, or subject-matter unfit; within 90 days (+90)</w:t>
            </w:r>
          </w:p>
        </w:tc>
      </w:tr>
      <w:tr>
        <w:tc>
          <w:tcPr>
            <w:tcW w:type="dxa" w:w="1872"/>
            <w:tcMar>
              <w:top w:w="60" w:type="dxa"/>
              <w:left w:w="110" w:type="dxa"/>
              <w:bottom w:w="60" w:type="dxa"/>
              <w:right w:w="110" w:type="dxa"/>
            </w:tcMar>
            <w:vAlign w:val="top"/>
          </w:tcPr>
          <w:p>
            <w:pPr>
              <w:spacing w:after="20"/>
            </w:pPr>
            <w:r>
              <w:rPr>
                <w:b/>
                <w:sz w:val="18"/>
              </w:rPr>
              <w:t>Online mediation</w:t>
            </w:r>
          </w:p>
        </w:tc>
        <w:tc>
          <w:tcPr>
            <w:tcW w:type="dxa" w:w="7488"/>
            <w:tcMar>
              <w:top w:w="60" w:type="dxa"/>
              <w:left w:w="110" w:type="dxa"/>
              <w:bottom w:w="60" w:type="dxa"/>
              <w:right w:w="110" w:type="dxa"/>
            </w:tcMar>
            <w:vAlign w:val="top"/>
          </w:tcPr>
          <w:p>
            <w:pPr>
              <w:spacing w:after="20"/>
            </w:pPr>
            <w:r>
              <w:rPr>
                <w:sz w:val="18"/>
              </w:rPr>
              <w:t>Expressly permits mediation by electronic means with consent</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Why this matters for Equator.  </w:t>
            </w:r>
            <w:r>
              <w:rPr>
                <w:color w:val="1A1A1A"/>
                <w:sz w:val="19"/>
              </w:rPr>
              <w:t>Section 27 makes an online mediated settlement directly enforceable without converting it into a court order — the legal foundation of the platform's mediation pillars. The engine auto-assembles the s.27 enforcement bundle (EQR-02 §13.2).</w:t>
            </w:r>
          </w:p>
        </w:tc>
      </w:tr>
    </w:tbl>
    <w:p>
      <w:pPr>
        <w:spacing w:after="40"/>
      </w:pPr>
    </w:p>
    <w:p>
      <w:pPr>
        <w:pStyle w:val="Heading1"/>
      </w:pPr>
      <w:r>
        <w:t>5. MSMED Act 2006</w:t>
      </w:r>
    </w:p>
    <w:p>
      <w:pPr>
        <w:spacing w:after="120"/>
      </w:pPr>
      <w:r>
        <w:rPr>
          <w:b w:val="0"/>
        </w:rPr>
        <w:t>Statutory protection for registered micro and small suppliers against delayed payment, with its own conciliation→arbitration mechanism through the Micro and Small Enterprises Facilitation Council (MSEFC).</w:t>
      </w:r>
    </w:p>
    <w:p>
      <w:pPr>
        <w:pStyle w:val="ListBullet"/>
      </w:pPr>
      <w:r>
        <w:rPr>
          <w:b/>
        </w:rPr>
        <w:t xml:space="preserve">s.15–17: </w:t>
      </w:r>
      <w:r>
        <w:t>Buyer's liability to pay within the appointed day and compound interest on delay.</w:t>
      </w:r>
    </w:p>
    <w:p>
      <w:pPr>
        <w:pStyle w:val="ListBullet"/>
      </w:pPr>
      <w:r>
        <w:rPr>
          <w:b/>
        </w:rPr>
        <w:t xml:space="preserve">s.18: </w:t>
      </w:r>
      <w:r>
        <w:t>Reference to MSEFC: mandatory conciliation first; on failure, arbitration under the A&amp;C Act by the Council or a referred ADR institution; conclude within 90 days.</w:t>
      </w:r>
    </w:p>
    <w:p>
      <w:pPr>
        <w:pStyle w:val="ListBullet"/>
      </w:pPr>
      <w:r>
        <w:rPr>
          <w:b/>
        </w:rPr>
        <w:t xml:space="preserve">Samadhaan: </w:t>
      </w:r>
      <w:r>
        <w:t>The MSME Samadhaan portal is the filing interface that forwards references to the MSEFC.</w:t>
      </w:r>
    </w:p>
    <w:p>
      <w:pPr>
        <w:pStyle w:val="ListBullet"/>
      </w:pPr>
      <w:r>
        <w:rPr>
          <w:b/>
        </w:rPr>
        <w:t xml:space="preserve">s.19: </w:t>
      </w:r>
      <w:r>
        <w:t>A party challenging the MSEFC award in court must first deposit 75% of the award amount.</w:t>
      </w:r>
    </w:p>
    <w:p>
      <w:pPr>
        <w:pStyle w:val="ListBullet"/>
      </w:pPr>
      <w:r>
        <w:rPr>
          <w:b/>
        </w:rPr>
        <w:t xml:space="preserve">Enforcement: </w:t>
      </w:r>
      <w:r>
        <w:t>The MSEFC award has the status of a civil-court decree, enforceable under s.36 A&amp;C Act.</w:t>
      </w:r>
    </w:p>
    <w:p>
      <w:pPr>
        <w:pStyle w:val="ListBullet"/>
      </w:pPr>
      <w:r>
        <w:rPr>
          <w:b/>
        </w:rPr>
        <w:t xml:space="preserve">Limitation (2025): </w:t>
      </w:r>
      <w:r>
        <w:t>Courts have clarified the Limitation Act applies to the arbitration stage but not to conciliation under s.18.</w:t>
      </w:r>
    </w:p>
    <w:p>
      <w:pPr>
        <w:pStyle w:val="Heading1"/>
      </w:pPr>
      <w:r>
        <w:t>6. Commercial Courts Act 2015</w:t>
      </w:r>
    </w:p>
    <w:p>
      <w:pPr>
        <w:spacing w:after="120"/>
      </w:pPr>
      <w:r>
        <w:rPr>
          <w:b w:val="0"/>
        </w:rPr>
        <w:t>Governs commercial disputes above the specified value. Section 12A mandates pre-institution mediation for commercial suits not contemplating urgent interim relief — an entry rung the platform supports so parties resolve before litigation.</w:t>
      </w:r>
    </w:p>
    <w:p>
      <w:pPr>
        <w:pStyle w:val="Heading1"/>
      </w:pPr>
      <w:r>
        <w:t>7. Family Courts Act 1984</w:t>
      </w:r>
    </w:p>
    <w:p>
      <w:pPr>
        <w:spacing w:after="120"/>
      </w:pPr>
      <w:r>
        <w:rPr>
          <w:b w:val="0"/>
        </w:rPr>
        <w:t>Establishes family courts and, in s.9, a duty to make efforts for settlement — the statutory basis for court-referred and pre-litigation family mediation. The platform's family module produces MSAs enforceable under the Mediation Act and consent terms placeable before the family court where required (e.g., mutual-consent divorce).</w:t>
      </w:r>
    </w:p>
    <w:p>
      <w:pPr>
        <w:pStyle w:val="Heading1"/>
      </w:pPr>
      <w:r>
        <w:t>8. Consumer Protection Act 2019</w:t>
      </w:r>
    </w:p>
    <w:p>
      <w:pPr>
        <w:spacing w:after="120"/>
      </w:pPr>
      <w:r>
        <w:rPr>
          <w:b w:val="0"/>
        </w:rPr>
        <w:t>Introduces consumer mediation cells attached to consumer commissions and the e-Daakhil e-filing system. The consumer module offers mediation/conciliation with e-Daakhil interoperability and routes unresolved matters to the appropriate commission.</w:t>
      </w:r>
    </w:p>
    <w:p>
      <w:pPr>
        <w:pStyle w:val="Heading1"/>
      </w:pPr>
      <w:r>
        <w:t>9. Companies Act 2013 — Dispute &amp; Settlement Provisions</w:t>
      </w:r>
    </w:p>
    <w:p>
      <w:pPr>
        <w:spacing w:after="120"/>
      </w:pPr>
      <w:r>
        <w:rPr>
          <w:b w:val="0"/>
        </w:rPr>
        <w:t>Contractual and many commercial disputes involving companies are arbitrable; the platform flags matters reserved to the NCLT (e.g., oppression and mismanagement under ss.241–242, class actions, winding-up) as non-arbitrable. Shareholder and stakeholder disputes that are contractual (shareholders' agreements, share transfers) can be arbitrated; listed-company stakeholder grievances integrate with the enterprise grievance layer (EQR-06) and, for securities, the SEBI track.</w:t>
      </w:r>
    </w:p>
    <w:p>
      <w:pPr>
        <w:pStyle w:val="Heading1"/>
      </w:pPr>
      <w:r>
        <w:t>10. Securities — SEBI ODR Framework</w:t>
      </w:r>
    </w:p>
    <w:p>
      <w:pPr>
        <w:spacing w:after="120"/>
      </w:pPr>
      <w:r>
        <w:rPr>
          <w:b w:val="0"/>
        </w:rPr>
        <w:t>The SEBI ODR Master Circular (Jul 2023) and the common SMART ODR portal govern investor–market-participant disputes: SCORES gateway, mandatory pre-conciliation (21 +10 days, free), conciliation (paid by the market participant), then binding arbitration. Encoded as the securities module (EQR-03 §7) with SCORES/intermediary SSO and round-robin allocation.</w:t>
      </w:r>
    </w:p>
    <w:p>
      <w:pPr>
        <w:pStyle w:val="Heading1"/>
      </w:pPr>
      <w:r>
        <w:t>11. RBI / NPCI ODR &amp; Grievance Mandates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3168"/>
            <w:shd w:val="clear" w:color="auto" w:fill="0B2E4F"/>
            <w:tcMar>
              <w:top w:w="60" w:type="dxa"/>
              <w:left w:w="110" w:type="dxa"/>
              <w:bottom w:w="60" w:type="dxa"/>
              <w:right w:w="110" w:type="dxa"/>
            </w:tcMar>
            <w:vAlign w:val="center"/>
          </w:tcPr>
          <w:p>
            <w:pPr>
              <w:spacing w:after="20"/>
            </w:pPr>
            <w:r>
              <w:rPr>
                <w:b/>
                <w:color w:val="FFFFFF"/>
                <w:sz w:val="18"/>
              </w:rPr>
              <w:t>Mandate</w:t>
            </w:r>
          </w:p>
        </w:tc>
        <w:tc>
          <w:tcPr>
            <w:tcW w:type="dxa" w:w="2736"/>
            <w:shd w:val="clear" w:color="auto" w:fill="0B2E4F"/>
            <w:tcMar>
              <w:top w:w="60" w:type="dxa"/>
              <w:left w:w="110" w:type="dxa"/>
              <w:bottom w:w="60" w:type="dxa"/>
              <w:right w:w="110" w:type="dxa"/>
            </w:tcMar>
            <w:vAlign w:val="center"/>
          </w:tcPr>
          <w:p>
            <w:pPr>
              <w:spacing w:after="20"/>
            </w:pPr>
            <w:r>
              <w:rPr>
                <w:b/>
                <w:color w:val="FFFFFF"/>
                <w:sz w:val="18"/>
              </w:rPr>
              <w:t>Who is compelled</w:t>
            </w:r>
          </w:p>
        </w:tc>
        <w:tc>
          <w:tcPr>
            <w:tcW w:type="dxa" w:w="3456"/>
            <w:shd w:val="clear" w:color="auto" w:fill="0B2E4F"/>
            <w:tcMar>
              <w:top w:w="60" w:type="dxa"/>
              <w:left w:w="110" w:type="dxa"/>
              <w:bottom w:w="60" w:type="dxa"/>
              <w:right w:w="110" w:type="dxa"/>
            </w:tcMar>
            <w:vAlign w:val="center"/>
          </w:tcPr>
          <w:p>
            <w:pPr>
              <w:spacing w:after="20"/>
            </w:pPr>
            <w:r>
              <w:rPr>
                <w:b/>
                <w:color w:val="FFFFFF"/>
                <w:sz w:val="18"/>
              </w:rPr>
              <w:t>Duty</w:t>
            </w:r>
          </w:p>
        </w:tc>
      </w:tr>
      <w:tr>
        <w:tc>
          <w:tcPr>
            <w:tcW w:type="dxa" w:w="3168"/>
            <w:tcMar>
              <w:top w:w="60" w:type="dxa"/>
              <w:left w:w="110" w:type="dxa"/>
              <w:bottom w:w="60" w:type="dxa"/>
              <w:right w:w="110" w:type="dxa"/>
            </w:tcMar>
            <w:vAlign w:val="top"/>
          </w:tcPr>
          <w:p>
            <w:pPr>
              <w:spacing w:after="20"/>
            </w:pPr>
            <w:r>
              <w:rPr>
                <w:b/>
                <w:sz w:val="18"/>
              </w:rPr>
              <w:t>RBI ODR for payment-system operators</w:t>
            </w:r>
          </w:p>
        </w:tc>
        <w:tc>
          <w:tcPr>
            <w:tcW w:type="dxa" w:w="2736"/>
            <w:tcMar>
              <w:top w:w="60" w:type="dxa"/>
              <w:left w:w="110" w:type="dxa"/>
              <w:bottom w:w="60" w:type="dxa"/>
              <w:right w:w="110" w:type="dxa"/>
            </w:tcMar>
            <w:vAlign w:val="top"/>
          </w:tcPr>
          <w:p>
            <w:pPr>
              <w:spacing w:after="20"/>
            </w:pPr>
            <w:r>
              <w:rPr>
                <w:sz w:val="18"/>
              </w:rPr>
              <w:t>Authorised PSOs</w:t>
            </w:r>
          </w:p>
        </w:tc>
        <w:tc>
          <w:tcPr>
            <w:tcW w:type="dxa" w:w="3456"/>
            <w:tcMar>
              <w:top w:w="60" w:type="dxa"/>
              <w:left w:w="110" w:type="dxa"/>
              <w:bottom w:w="60" w:type="dxa"/>
              <w:right w:w="110" w:type="dxa"/>
            </w:tcMar>
            <w:vAlign w:val="top"/>
          </w:tcPr>
          <w:p>
            <w:pPr>
              <w:spacing w:after="20"/>
            </w:pPr>
            <w:r>
              <w:rPr>
                <w:sz w:val="18"/>
              </w:rPr>
              <w:t>Operate ODR for payment disputes</w:t>
            </w:r>
          </w:p>
        </w:tc>
      </w:tr>
      <w:tr>
        <w:tc>
          <w:tcPr>
            <w:tcW w:type="dxa" w:w="3168"/>
            <w:shd w:val="clear" w:color="auto" w:fill="EAF1F6"/>
            <w:tcMar>
              <w:top w:w="60" w:type="dxa"/>
              <w:left w:w="110" w:type="dxa"/>
              <w:bottom w:w="60" w:type="dxa"/>
              <w:right w:w="110" w:type="dxa"/>
            </w:tcMar>
            <w:vAlign w:val="top"/>
          </w:tcPr>
          <w:p>
            <w:pPr>
              <w:spacing w:after="20"/>
            </w:pPr>
            <w:r>
              <w:rPr>
                <w:b/>
                <w:sz w:val="18"/>
              </w:rPr>
              <w:t>NPCI ODR for UPI</w:t>
            </w:r>
          </w:p>
        </w:tc>
        <w:tc>
          <w:tcPr>
            <w:tcW w:type="dxa" w:w="2736"/>
            <w:shd w:val="clear" w:color="auto" w:fill="EAF1F6"/>
            <w:tcMar>
              <w:top w:w="60" w:type="dxa"/>
              <w:left w:w="110" w:type="dxa"/>
              <w:bottom w:w="60" w:type="dxa"/>
              <w:right w:w="110" w:type="dxa"/>
            </w:tcMar>
            <w:vAlign w:val="top"/>
          </w:tcPr>
          <w:p>
            <w:pPr>
              <w:spacing w:after="20"/>
            </w:pPr>
            <w:r>
              <w:rPr>
                <w:sz w:val="18"/>
              </w:rPr>
              <w:t>UPI participants</w:t>
            </w:r>
          </w:p>
        </w:tc>
        <w:tc>
          <w:tcPr>
            <w:tcW w:type="dxa" w:w="3456"/>
            <w:shd w:val="clear" w:color="auto" w:fill="EAF1F6"/>
            <w:tcMar>
              <w:top w:w="60" w:type="dxa"/>
              <w:left w:w="110" w:type="dxa"/>
              <w:bottom w:w="60" w:type="dxa"/>
              <w:right w:w="110" w:type="dxa"/>
            </w:tcMar>
            <w:vAlign w:val="top"/>
          </w:tcPr>
          <w:p>
            <w:pPr>
              <w:spacing w:after="20"/>
            </w:pPr>
            <w:r>
              <w:rPr>
                <w:sz w:val="18"/>
              </w:rPr>
              <w:t>Mandatory ODR for failed-transaction grievances</w:t>
            </w:r>
          </w:p>
        </w:tc>
      </w:tr>
      <w:tr>
        <w:tc>
          <w:tcPr>
            <w:tcW w:type="dxa" w:w="3168"/>
            <w:tcMar>
              <w:top w:w="60" w:type="dxa"/>
              <w:left w:w="110" w:type="dxa"/>
              <w:bottom w:w="60" w:type="dxa"/>
              <w:right w:w="110" w:type="dxa"/>
            </w:tcMar>
            <w:vAlign w:val="top"/>
          </w:tcPr>
          <w:p>
            <w:pPr>
              <w:spacing w:after="20"/>
            </w:pPr>
            <w:r>
              <w:rPr>
                <w:b/>
                <w:sz w:val="18"/>
              </w:rPr>
              <w:t>RBI Digital Lending Directions</w:t>
            </w:r>
          </w:p>
        </w:tc>
        <w:tc>
          <w:tcPr>
            <w:tcW w:type="dxa" w:w="2736"/>
            <w:tcMar>
              <w:top w:w="60" w:type="dxa"/>
              <w:left w:w="110" w:type="dxa"/>
              <w:bottom w:w="60" w:type="dxa"/>
              <w:right w:w="110" w:type="dxa"/>
            </w:tcMar>
            <w:vAlign w:val="top"/>
          </w:tcPr>
          <w:p>
            <w:pPr>
              <w:spacing w:after="20"/>
            </w:pPr>
            <w:r>
              <w:rPr>
                <w:sz w:val="18"/>
              </w:rPr>
              <w:t>Lenders / LSPs</w:t>
            </w:r>
          </w:p>
        </w:tc>
        <w:tc>
          <w:tcPr>
            <w:tcW w:type="dxa" w:w="3456"/>
            <w:tcMar>
              <w:top w:w="60" w:type="dxa"/>
              <w:left w:w="110" w:type="dxa"/>
              <w:bottom w:w="60" w:type="dxa"/>
              <w:right w:w="110" w:type="dxa"/>
            </w:tcMar>
            <w:vAlign w:val="top"/>
          </w:tcPr>
          <w:p>
            <w:pPr>
              <w:spacing w:after="20"/>
            </w:pPr>
            <w:r>
              <w:rPr>
                <w:sz w:val="18"/>
              </w:rPr>
              <w:t>Grievance redressal; 30-day SLA; escalation</w:t>
            </w:r>
          </w:p>
        </w:tc>
      </w:tr>
      <w:tr>
        <w:tc>
          <w:tcPr>
            <w:tcW w:type="dxa" w:w="3168"/>
            <w:shd w:val="clear" w:color="auto" w:fill="EAF1F6"/>
            <w:tcMar>
              <w:top w:w="60" w:type="dxa"/>
              <w:left w:w="110" w:type="dxa"/>
              <w:bottom w:w="60" w:type="dxa"/>
              <w:right w:w="110" w:type="dxa"/>
            </w:tcMar>
            <w:vAlign w:val="top"/>
          </w:tcPr>
          <w:p>
            <w:pPr>
              <w:spacing w:after="20"/>
            </w:pPr>
            <w:r>
              <w:rPr>
                <w:b/>
                <w:sz w:val="18"/>
              </w:rPr>
              <w:t>RBI Integrated Ombudsman</w:t>
            </w:r>
          </w:p>
        </w:tc>
        <w:tc>
          <w:tcPr>
            <w:tcW w:type="dxa" w:w="2736"/>
            <w:shd w:val="clear" w:color="auto" w:fill="EAF1F6"/>
            <w:tcMar>
              <w:top w:w="60" w:type="dxa"/>
              <w:left w:w="110" w:type="dxa"/>
              <w:bottom w:w="60" w:type="dxa"/>
              <w:right w:w="110" w:type="dxa"/>
            </w:tcMar>
            <w:vAlign w:val="top"/>
          </w:tcPr>
          <w:p>
            <w:pPr>
              <w:spacing w:after="20"/>
            </w:pPr>
            <w:r>
              <w:rPr>
                <w:sz w:val="18"/>
              </w:rPr>
              <w:t>Regulated entities</w:t>
            </w:r>
          </w:p>
        </w:tc>
        <w:tc>
          <w:tcPr>
            <w:tcW w:type="dxa" w:w="3456"/>
            <w:shd w:val="clear" w:color="auto" w:fill="EAF1F6"/>
            <w:tcMar>
              <w:top w:w="60" w:type="dxa"/>
              <w:left w:w="110" w:type="dxa"/>
              <w:bottom w:w="60" w:type="dxa"/>
              <w:right w:w="110" w:type="dxa"/>
            </w:tcMar>
            <w:vAlign w:val="top"/>
          </w:tcPr>
          <w:p>
            <w:pPr>
              <w:spacing w:after="20"/>
            </w:pPr>
            <w:r>
              <w:rPr>
                <w:sz w:val="18"/>
              </w:rPr>
              <w:t>Grievance escalation visibility (CMS)</w:t>
            </w:r>
          </w:p>
        </w:tc>
      </w:tr>
    </w:tbl>
    <w:p>
      <w:pPr>
        <w:spacing w:after="40"/>
      </w:pPr>
    </w:p>
    <w:p>
      <w:pPr>
        <w:pStyle w:val="Heading1"/>
      </w:pPr>
      <w:r>
        <w:t>12. Execution &amp; Enforcement of Outcomes</w:t>
      </w:r>
    </w:p>
    <w:p>
      <w:pPr>
        <w:spacing w:after="120"/>
      </w:pPr>
      <w:r>
        <w:rPr>
          <w:b w:val="0"/>
        </w:rPr>
        <w:t>The most-requested capability, consolidated. The platform does not stop at an outcome; it packages and tracks enforcement to completion (SmartExecution).</w:t>
      </w:r>
    </w:p>
    <w:p>
      <w:pPr>
        <w:pStyle w:val="Heading2"/>
      </w:pPr>
      <w:r>
        <w:t>12.1 Domestic routes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6"/>
              </w:rPr>
              <w:t>Outcome</w:t>
            </w:r>
          </w:p>
        </w:tc>
        <w:tc>
          <w:tcPr>
            <w:tcW w:type="dxa" w:w="3744"/>
            <w:shd w:val="clear" w:color="auto" w:fill="0B2E4F"/>
            <w:tcMar>
              <w:top w:w="60" w:type="dxa"/>
              <w:left w:w="110" w:type="dxa"/>
              <w:bottom w:w="60" w:type="dxa"/>
              <w:right w:w="110" w:type="dxa"/>
            </w:tcMar>
            <w:vAlign w:val="center"/>
          </w:tcPr>
          <w:p>
            <w:pPr>
              <w:spacing w:after="20"/>
            </w:pPr>
            <w:r>
              <w:rPr>
                <w:b/>
                <w:color w:val="FFFFFF"/>
                <w:sz w:val="16"/>
              </w:rPr>
              <w:t>Enforcement route</w:t>
            </w:r>
          </w:p>
        </w:tc>
        <w:tc>
          <w:tcPr>
            <w:tcW w:type="dxa" w:w="3312"/>
            <w:shd w:val="clear" w:color="auto" w:fill="0B2E4F"/>
            <w:tcMar>
              <w:top w:w="60" w:type="dxa"/>
              <w:left w:w="110" w:type="dxa"/>
              <w:bottom w:w="60" w:type="dxa"/>
              <w:right w:w="110" w:type="dxa"/>
            </w:tcMar>
            <w:vAlign w:val="center"/>
          </w:tcPr>
          <w:p>
            <w:pPr>
              <w:spacing w:after="20"/>
            </w:pPr>
            <w:r>
              <w:rPr>
                <w:b/>
                <w:color w:val="FFFFFF"/>
                <w:sz w:val="16"/>
              </w:rPr>
              <w:t>Key conditions</w:t>
            </w:r>
          </w:p>
        </w:tc>
      </w:tr>
      <w:tr>
        <w:tc>
          <w:tcPr>
            <w:tcW w:type="dxa" w:w="2304"/>
            <w:tcMar>
              <w:top w:w="60" w:type="dxa"/>
              <w:left w:w="110" w:type="dxa"/>
              <w:bottom w:w="60" w:type="dxa"/>
              <w:right w:w="110" w:type="dxa"/>
            </w:tcMar>
            <w:vAlign w:val="top"/>
          </w:tcPr>
          <w:p>
            <w:pPr>
              <w:spacing w:after="20"/>
            </w:pPr>
            <w:r>
              <w:rPr>
                <w:b/>
                <w:sz w:val="16"/>
              </w:rPr>
              <w:t>Arbitral award</w:t>
            </w:r>
          </w:p>
        </w:tc>
        <w:tc>
          <w:tcPr>
            <w:tcW w:type="dxa" w:w="3744"/>
            <w:tcMar>
              <w:top w:w="60" w:type="dxa"/>
              <w:left w:w="110" w:type="dxa"/>
              <w:bottom w:w="60" w:type="dxa"/>
              <w:right w:w="110" w:type="dxa"/>
            </w:tcMar>
            <w:vAlign w:val="top"/>
          </w:tcPr>
          <w:p>
            <w:pPr>
              <w:spacing w:after="20"/>
            </w:pPr>
            <w:r>
              <w:rPr>
                <w:sz w:val="16"/>
              </w:rPr>
              <w:t>s.36 A&amp;C Act — enforced as a decree (CPC)</w:t>
            </w:r>
          </w:p>
        </w:tc>
        <w:tc>
          <w:tcPr>
            <w:tcW w:type="dxa" w:w="3312"/>
            <w:tcMar>
              <w:top w:w="60" w:type="dxa"/>
              <w:left w:w="110" w:type="dxa"/>
              <w:bottom w:w="60" w:type="dxa"/>
              <w:right w:w="110" w:type="dxa"/>
            </w:tcMar>
            <w:vAlign w:val="top"/>
          </w:tcPr>
          <w:p>
            <w:pPr>
              <w:spacing w:after="20"/>
            </w:pPr>
            <w:r>
              <w:rPr>
                <w:sz w:val="16"/>
              </w:rPr>
              <w:t>After s.34 window (3m +30d) without successful challenge</w:t>
            </w:r>
          </w:p>
        </w:tc>
      </w:tr>
      <w:tr>
        <w:tc>
          <w:tcPr>
            <w:tcW w:type="dxa" w:w="2304"/>
            <w:shd w:val="clear" w:color="auto" w:fill="EAF1F6"/>
            <w:tcMar>
              <w:top w:w="60" w:type="dxa"/>
              <w:left w:w="110" w:type="dxa"/>
              <w:bottom w:w="60" w:type="dxa"/>
              <w:right w:w="110" w:type="dxa"/>
            </w:tcMar>
            <w:vAlign w:val="top"/>
          </w:tcPr>
          <w:p>
            <w:pPr>
              <w:spacing w:after="20"/>
            </w:pPr>
            <w:r>
              <w:rPr>
                <w:b/>
                <w:sz w:val="16"/>
              </w:rPr>
              <w:t>Mediated settlement (MSA)</w:t>
            </w:r>
          </w:p>
        </w:tc>
        <w:tc>
          <w:tcPr>
            <w:tcW w:type="dxa" w:w="3744"/>
            <w:shd w:val="clear" w:color="auto" w:fill="EAF1F6"/>
            <w:tcMar>
              <w:top w:w="60" w:type="dxa"/>
              <w:left w:w="110" w:type="dxa"/>
              <w:bottom w:w="60" w:type="dxa"/>
              <w:right w:w="110" w:type="dxa"/>
            </w:tcMar>
            <w:vAlign w:val="top"/>
          </w:tcPr>
          <w:p>
            <w:pPr>
              <w:spacing w:after="20"/>
            </w:pPr>
            <w:r>
              <w:rPr>
                <w:sz w:val="16"/>
              </w:rPr>
              <w:t>s.27 Mediation Act — as a court judgment/decree</w:t>
            </w:r>
          </w:p>
        </w:tc>
        <w:tc>
          <w:tcPr>
            <w:tcW w:type="dxa" w:w="3312"/>
            <w:shd w:val="clear" w:color="auto" w:fill="EAF1F6"/>
            <w:tcMar>
              <w:top w:w="60" w:type="dxa"/>
              <w:left w:w="110" w:type="dxa"/>
              <w:bottom w:w="60" w:type="dxa"/>
              <w:right w:w="110" w:type="dxa"/>
            </w:tcMar>
            <w:vAlign w:val="top"/>
          </w:tcPr>
          <w:p>
            <w:pPr>
              <w:spacing w:after="20"/>
            </w:pPr>
            <w:r>
              <w:rPr>
                <w:sz w:val="16"/>
              </w:rPr>
              <w:t>Signed + mediator-authenticated; challenge only s.28 (90+90)</w:t>
            </w:r>
          </w:p>
        </w:tc>
      </w:tr>
      <w:tr>
        <w:tc>
          <w:tcPr>
            <w:tcW w:type="dxa" w:w="2304"/>
            <w:tcMar>
              <w:top w:w="60" w:type="dxa"/>
              <w:left w:w="110" w:type="dxa"/>
              <w:bottom w:w="60" w:type="dxa"/>
              <w:right w:w="110" w:type="dxa"/>
            </w:tcMar>
            <w:vAlign w:val="top"/>
          </w:tcPr>
          <w:p>
            <w:pPr>
              <w:spacing w:after="20"/>
            </w:pPr>
            <w:r>
              <w:rPr>
                <w:b/>
                <w:sz w:val="16"/>
              </w:rPr>
              <w:t>Conciliation settlement</w:t>
            </w:r>
          </w:p>
        </w:tc>
        <w:tc>
          <w:tcPr>
            <w:tcW w:type="dxa" w:w="3744"/>
            <w:tcMar>
              <w:top w:w="60" w:type="dxa"/>
              <w:left w:w="110" w:type="dxa"/>
              <w:bottom w:w="60" w:type="dxa"/>
              <w:right w:w="110" w:type="dxa"/>
            </w:tcMar>
            <w:vAlign w:val="top"/>
          </w:tcPr>
          <w:p>
            <w:pPr>
              <w:spacing w:after="20"/>
            </w:pPr>
            <w:r>
              <w:rPr>
                <w:sz w:val="16"/>
              </w:rPr>
              <w:t>s.74 A&amp;C — award on agreed terms</w:t>
            </w:r>
          </w:p>
        </w:tc>
        <w:tc>
          <w:tcPr>
            <w:tcW w:type="dxa" w:w="3312"/>
            <w:tcMar>
              <w:top w:w="60" w:type="dxa"/>
              <w:left w:w="110" w:type="dxa"/>
              <w:bottom w:w="60" w:type="dxa"/>
              <w:right w:w="110" w:type="dxa"/>
            </w:tcMar>
            <w:vAlign w:val="top"/>
          </w:tcPr>
          <w:p>
            <w:pPr>
              <w:spacing w:after="20"/>
            </w:pPr>
            <w:r>
              <w:rPr>
                <w:sz w:val="16"/>
              </w:rPr>
              <w:t>Signed settlement; same effect as award</w:t>
            </w:r>
          </w:p>
        </w:tc>
      </w:tr>
      <w:tr>
        <w:tc>
          <w:tcPr>
            <w:tcW w:type="dxa" w:w="2304"/>
            <w:shd w:val="clear" w:color="auto" w:fill="EAF1F6"/>
            <w:tcMar>
              <w:top w:w="60" w:type="dxa"/>
              <w:left w:w="110" w:type="dxa"/>
              <w:bottom w:w="60" w:type="dxa"/>
              <w:right w:w="110" w:type="dxa"/>
            </w:tcMar>
            <w:vAlign w:val="top"/>
          </w:tcPr>
          <w:p>
            <w:pPr>
              <w:spacing w:after="20"/>
            </w:pPr>
            <w:r>
              <w:rPr>
                <w:b/>
                <w:sz w:val="16"/>
              </w:rPr>
              <w:t>MSEFC award</w:t>
            </w:r>
          </w:p>
        </w:tc>
        <w:tc>
          <w:tcPr>
            <w:tcW w:type="dxa" w:w="3744"/>
            <w:shd w:val="clear" w:color="auto" w:fill="EAF1F6"/>
            <w:tcMar>
              <w:top w:w="60" w:type="dxa"/>
              <w:left w:w="110" w:type="dxa"/>
              <w:bottom w:w="60" w:type="dxa"/>
              <w:right w:w="110" w:type="dxa"/>
            </w:tcMar>
            <w:vAlign w:val="top"/>
          </w:tcPr>
          <w:p>
            <w:pPr>
              <w:spacing w:after="20"/>
            </w:pPr>
            <w:r>
              <w:rPr>
                <w:sz w:val="16"/>
              </w:rPr>
              <w:t>s.36 A&amp;C Act</w:t>
            </w:r>
          </w:p>
        </w:tc>
        <w:tc>
          <w:tcPr>
            <w:tcW w:type="dxa" w:w="3312"/>
            <w:shd w:val="clear" w:color="auto" w:fill="EAF1F6"/>
            <w:tcMar>
              <w:top w:w="60" w:type="dxa"/>
              <w:left w:w="110" w:type="dxa"/>
              <w:bottom w:w="60" w:type="dxa"/>
              <w:right w:w="110" w:type="dxa"/>
            </w:tcMar>
            <w:vAlign w:val="top"/>
          </w:tcPr>
          <w:p>
            <w:pPr>
              <w:spacing w:after="20"/>
            </w:pPr>
            <w:r>
              <w:rPr>
                <w:sz w:val="16"/>
              </w:rPr>
              <w:t>75% pre-deposit to challenge (s.19 MSMED)</w:t>
            </w:r>
          </w:p>
        </w:tc>
      </w:tr>
      <w:tr>
        <w:tc>
          <w:tcPr>
            <w:tcW w:type="dxa" w:w="2304"/>
            <w:tcMar>
              <w:top w:w="60" w:type="dxa"/>
              <w:left w:w="110" w:type="dxa"/>
              <w:bottom w:w="60" w:type="dxa"/>
              <w:right w:w="110" w:type="dxa"/>
            </w:tcMar>
            <w:vAlign w:val="top"/>
          </w:tcPr>
          <w:p>
            <w:pPr>
              <w:spacing w:after="20"/>
            </w:pPr>
            <w:r>
              <w:rPr>
                <w:b/>
                <w:sz w:val="16"/>
              </w:rPr>
              <w:t>Consumer settlement</w:t>
            </w:r>
          </w:p>
        </w:tc>
        <w:tc>
          <w:tcPr>
            <w:tcW w:type="dxa" w:w="3744"/>
            <w:tcMar>
              <w:top w:w="60" w:type="dxa"/>
              <w:left w:w="110" w:type="dxa"/>
              <w:bottom w:w="60" w:type="dxa"/>
              <w:right w:w="110" w:type="dxa"/>
            </w:tcMar>
            <w:vAlign w:val="top"/>
          </w:tcPr>
          <w:p>
            <w:pPr>
              <w:spacing w:after="20"/>
            </w:pPr>
            <w:r>
              <w:rPr>
                <w:sz w:val="16"/>
              </w:rPr>
              <w:t>MSA under s.27 / commission order</w:t>
            </w:r>
          </w:p>
        </w:tc>
        <w:tc>
          <w:tcPr>
            <w:tcW w:type="dxa" w:w="3312"/>
            <w:tcMar>
              <w:top w:w="60" w:type="dxa"/>
              <w:left w:w="110" w:type="dxa"/>
              <w:bottom w:w="60" w:type="dxa"/>
              <w:right w:w="110" w:type="dxa"/>
            </w:tcMar>
            <w:vAlign w:val="top"/>
          </w:tcPr>
          <w:p>
            <w:pPr>
              <w:spacing w:after="20"/>
            </w:pPr>
            <w:r>
              <w:rPr>
                <w:sz w:val="16"/>
              </w:rPr>
              <w:t>Route to commission if unresolved</w:t>
            </w:r>
          </w:p>
        </w:tc>
      </w:tr>
    </w:tbl>
    <w:p>
      <w:pPr>
        <w:spacing w:after="40"/>
      </w:pPr>
    </w:p>
    <w:p>
      <w:pPr>
        <w:pStyle w:val="Heading2"/>
      </w:pPr>
      <w:r>
        <w:t>12.2 The execution bundle</w:t>
      </w:r>
    </w:p>
    <w:p>
      <w:pPr>
        <w:spacing w:after="120"/>
      </w:pPr>
      <w:r>
        <w:rPr>
          <w:b w:val="0"/>
        </w:rPr>
        <w:t>On enforceability, the engine assembles a court-ready bundle: the signed outcome, terms of reference / mediation record, service certificates (proof of notice), signatures and e-stamp certificates, the chain-of-custody log, and a certified copy — exported in an e-Courts-compatible format. The party's execution petition status is tracked in the case record.</w:t>
      </w:r>
    </w:p>
    <w:p>
      <w:pPr>
        <w:pStyle w:val="Heading2"/>
      </w:pPr>
      <w:r>
        <w:t>12.3 Cross-border enforcement</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6"/>
              </w:rPr>
              <w:t>Instrument</w:t>
            </w:r>
          </w:p>
        </w:tc>
        <w:tc>
          <w:tcPr>
            <w:tcW w:type="dxa" w:w="3744"/>
            <w:shd w:val="clear" w:color="auto" w:fill="0B2E4F"/>
            <w:tcMar>
              <w:top w:w="60" w:type="dxa"/>
              <w:left w:w="110" w:type="dxa"/>
              <w:bottom w:w="60" w:type="dxa"/>
              <w:right w:w="110" w:type="dxa"/>
            </w:tcMar>
            <w:vAlign w:val="center"/>
          </w:tcPr>
          <w:p>
            <w:pPr>
              <w:spacing w:after="20"/>
            </w:pPr>
            <w:r>
              <w:rPr>
                <w:b/>
                <w:color w:val="FFFFFF"/>
                <w:sz w:val="16"/>
              </w:rPr>
              <w:t>Scope</w:t>
            </w:r>
          </w:p>
        </w:tc>
        <w:tc>
          <w:tcPr>
            <w:tcW w:type="dxa" w:w="3168"/>
            <w:shd w:val="clear" w:color="auto" w:fill="0B2E4F"/>
            <w:tcMar>
              <w:top w:w="60" w:type="dxa"/>
              <w:left w:w="110" w:type="dxa"/>
              <w:bottom w:w="60" w:type="dxa"/>
              <w:right w:w="110" w:type="dxa"/>
            </w:tcMar>
            <w:vAlign w:val="center"/>
          </w:tcPr>
          <w:p>
            <w:pPr>
              <w:spacing w:after="20"/>
            </w:pPr>
            <w:r>
              <w:rPr>
                <w:b/>
                <w:color w:val="FFFFFF"/>
                <w:sz w:val="16"/>
              </w:rPr>
              <w:t>Status / note</w:t>
            </w:r>
          </w:p>
        </w:tc>
      </w:tr>
      <w:tr>
        <w:tc>
          <w:tcPr>
            <w:tcW w:type="dxa" w:w="2448"/>
            <w:tcMar>
              <w:top w:w="60" w:type="dxa"/>
              <w:left w:w="110" w:type="dxa"/>
              <w:bottom w:w="60" w:type="dxa"/>
              <w:right w:w="110" w:type="dxa"/>
            </w:tcMar>
            <w:vAlign w:val="top"/>
          </w:tcPr>
          <w:p>
            <w:pPr>
              <w:spacing w:after="20"/>
            </w:pPr>
            <w:r>
              <w:rPr>
                <w:b/>
                <w:sz w:val="16"/>
              </w:rPr>
              <w:t>New York Convention 1958</w:t>
            </w:r>
          </w:p>
        </w:tc>
        <w:tc>
          <w:tcPr>
            <w:tcW w:type="dxa" w:w="3744"/>
            <w:tcMar>
              <w:top w:w="60" w:type="dxa"/>
              <w:left w:w="110" w:type="dxa"/>
              <w:bottom w:w="60" w:type="dxa"/>
              <w:right w:w="110" w:type="dxa"/>
            </w:tcMar>
            <w:vAlign w:val="top"/>
          </w:tcPr>
          <w:p>
            <w:pPr>
              <w:spacing w:after="20"/>
            </w:pPr>
            <w:r>
              <w:rPr>
                <w:sz w:val="16"/>
              </w:rPr>
              <w:t>Foreign arbitral awards in 170+ contracting states</w:t>
            </w:r>
          </w:p>
        </w:tc>
        <w:tc>
          <w:tcPr>
            <w:tcW w:type="dxa" w:w="3168"/>
            <w:tcMar>
              <w:top w:w="60" w:type="dxa"/>
              <w:left w:w="110" w:type="dxa"/>
              <w:bottom w:w="60" w:type="dxa"/>
              <w:right w:w="110" w:type="dxa"/>
            </w:tcMar>
            <w:vAlign w:val="top"/>
          </w:tcPr>
          <w:p>
            <w:pPr>
              <w:spacing w:after="20"/>
            </w:pPr>
            <w:r>
              <w:rPr>
                <w:sz w:val="16"/>
              </w:rPr>
              <w:t>India is a party; awards widely enforceable</w:t>
            </w:r>
          </w:p>
        </w:tc>
      </w:tr>
      <w:tr>
        <w:tc>
          <w:tcPr>
            <w:tcW w:type="dxa" w:w="2448"/>
            <w:shd w:val="clear" w:color="auto" w:fill="EAF1F6"/>
            <w:tcMar>
              <w:top w:w="60" w:type="dxa"/>
              <w:left w:w="110" w:type="dxa"/>
              <w:bottom w:w="60" w:type="dxa"/>
              <w:right w:w="110" w:type="dxa"/>
            </w:tcMar>
            <w:vAlign w:val="top"/>
          </w:tcPr>
          <w:p>
            <w:pPr>
              <w:spacing w:after="20"/>
            </w:pPr>
            <w:r>
              <w:rPr>
                <w:b/>
                <w:sz w:val="16"/>
              </w:rPr>
              <w:t>Singapore Convention 2019</w:t>
            </w:r>
          </w:p>
        </w:tc>
        <w:tc>
          <w:tcPr>
            <w:tcW w:type="dxa" w:w="3744"/>
            <w:shd w:val="clear" w:color="auto" w:fill="EAF1F6"/>
            <w:tcMar>
              <w:top w:w="60" w:type="dxa"/>
              <w:left w:w="110" w:type="dxa"/>
              <w:bottom w:w="60" w:type="dxa"/>
              <w:right w:w="110" w:type="dxa"/>
            </w:tcMar>
            <w:vAlign w:val="top"/>
          </w:tcPr>
          <w:p>
            <w:pPr>
              <w:spacing w:after="20"/>
            </w:pPr>
            <w:r>
              <w:rPr>
                <w:sz w:val="16"/>
              </w:rPr>
              <w:t>International mediated settlements</w:t>
            </w:r>
          </w:p>
        </w:tc>
        <w:tc>
          <w:tcPr>
            <w:tcW w:type="dxa" w:w="3168"/>
            <w:shd w:val="clear" w:color="auto" w:fill="EAF1F6"/>
            <w:tcMar>
              <w:top w:w="60" w:type="dxa"/>
              <w:left w:w="110" w:type="dxa"/>
              <w:bottom w:w="60" w:type="dxa"/>
              <w:right w:w="110" w:type="dxa"/>
            </w:tcMar>
            <w:vAlign w:val="top"/>
          </w:tcPr>
          <w:p>
            <w:pPr>
              <w:spacing w:after="20"/>
            </w:pPr>
            <w:r>
              <w:rPr>
                <w:sz w:val="16"/>
              </w:rPr>
              <w:t>India signed (2019), not yet ratified — flagged in-product; enforce per local law meanwhile</w:t>
            </w:r>
          </w:p>
        </w:tc>
      </w:tr>
      <w:tr>
        <w:tc>
          <w:tcPr>
            <w:tcW w:type="dxa" w:w="2448"/>
            <w:tcMar>
              <w:top w:w="60" w:type="dxa"/>
              <w:left w:w="110" w:type="dxa"/>
              <w:bottom w:w="60" w:type="dxa"/>
              <w:right w:w="110" w:type="dxa"/>
            </w:tcMar>
            <w:vAlign w:val="top"/>
          </w:tcPr>
          <w:p>
            <w:pPr>
              <w:spacing w:after="20"/>
            </w:pPr>
            <w:r>
              <w:rPr>
                <w:b/>
                <w:sz w:val="16"/>
              </w:rPr>
              <w:t>UNCITRAL Model Law</w:t>
            </w:r>
          </w:p>
        </w:tc>
        <w:tc>
          <w:tcPr>
            <w:tcW w:type="dxa" w:w="3744"/>
            <w:tcMar>
              <w:top w:w="60" w:type="dxa"/>
              <w:left w:w="110" w:type="dxa"/>
              <w:bottom w:w="60" w:type="dxa"/>
              <w:right w:w="110" w:type="dxa"/>
            </w:tcMar>
            <w:vAlign w:val="top"/>
          </w:tcPr>
          <w:p>
            <w:pPr>
              <w:spacing w:after="20"/>
            </w:pPr>
            <w:r>
              <w:rPr>
                <w:sz w:val="16"/>
              </w:rPr>
              <w:t>Reference frame for international arbitration</w:t>
            </w:r>
          </w:p>
        </w:tc>
        <w:tc>
          <w:tcPr>
            <w:tcW w:type="dxa" w:w="3168"/>
            <w:tcMar>
              <w:top w:w="60" w:type="dxa"/>
              <w:left w:w="110" w:type="dxa"/>
              <w:bottom w:w="60" w:type="dxa"/>
              <w:right w:w="110" w:type="dxa"/>
            </w:tcMar>
            <w:vAlign w:val="top"/>
          </w:tcPr>
          <w:p>
            <w:pPr>
              <w:spacing w:after="20"/>
            </w:pPr>
            <w:r>
              <w:rPr>
                <w:sz w:val="16"/>
              </w:rPr>
              <w:t>Underpins the A&amp;C Act; guides ICA rulesets</w:t>
            </w:r>
          </w:p>
        </w:tc>
      </w:tr>
    </w:tbl>
    <w:p>
      <w:pPr>
        <w:spacing w:after="40"/>
      </w:pPr>
    </w:p>
    <w:p>
      <w:pPr>
        <w:pStyle w:val="Heading2"/>
      </w:pPr>
      <w:r>
        <w:t>12.4 WTO context (informational)</w:t>
      </w:r>
    </w:p>
    <w:p>
      <w:pPr>
        <w:spacing w:after="120"/>
      </w:pPr>
      <w:r>
        <w:rPr>
          <w:b w:val="0"/>
        </w:rPr>
        <w:t>The WTO dispute-settlement system governs state-to-state trade disputes and is not a forum for private parties; it is out of scope for Equator's private ODR. It is noted because export–import disputes sit within a WTO-consistent trade-rule context, and parties value neutrals who understand it.</w:t>
      </w:r>
    </w:p>
    <w:p>
      <w:pPr>
        <w:pStyle w:val="Heading1"/>
      </w:pPr>
      <w:r>
        <w:t>13. eStamp &amp; eSign — Legal Basis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7"/>
              </w:rPr>
              <w:t>Element</w:t>
            </w:r>
          </w:p>
        </w:tc>
        <w:tc>
          <w:tcPr>
            <w:tcW w:type="dxa" w:w="3600"/>
            <w:shd w:val="clear" w:color="auto" w:fill="0B2E4F"/>
            <w:tcMar>
              <w:top w:w="60" w:type="dxa"/>
              <w:left w:w="110" w:type="dxa"/>
              <w:bottom w:w="60" w:type="dxa"/>
              <w:right w:w="110" w:type="dxa"/>
            </w:tcMar>
            <w:vAlign w:val="center"/>
          </w:tcPr>
          <w:p>
            <w:pPr>
              <w:spacing w:after="20"/>
            </w:pPr>
            <w:r>
              <w:rPr>
                <w:b/>
                <w:color w:val="FFFFFF"/>
                <w:sz w:val="17"/>
              </w:rPr>
              <w:t>Basis</w:t>
            </w:r>
          </w:p>
        </w:tc>
        <w:tc>
          <w:tcPr>
            <w:tcW w:type="dxa" w:w="3456"/>
            <w:shd w:val="clear" w:color="auto" w:fill="0B2E4F"/>
            <w:tcMar>
              <w:top w:w="60" w:type="dxa"/>
              <w:left w:w="110" w:type="dxa"/>
              <w:bottom w:w="60" w:type="dxa"/>
              <w:right w:w="110" w:type="dxa"/>
            </w:tcMar>
            <w:vAlign w:val="center"/>
          </w:tcPr>
          <w:p>
            <w:pPr>
              <w:spacing w:after="20"/>
            </w:pPr>
            <w:r>
              <w:rPr>
                <w:b/>
                <w:color w:val="FFFFFF"/>
                <w:sz w:val="17"/>
              </w:rPr>
              <w:t>Platform use</w:t>
            </w:r>
          </w:p>
        </w:tc>
      </w:tr>
      <w:tr>
        <w:tc>
          <w:tcPr>
            <w:tcW w:type="dxa" w:w="2304"/>
            <w:tcMar>
              <w:top w:w="60" w:type="dxa"/>
              <w:left w:w="110" w:type="dxa"/>
              <w:bottom w:w="60" w:type="dxa"/>
              <w:right w:w="110" w:type="dxa"/>
            </w:tcMar>
            <w:vAlign w:val="top"/>
          </w:tcPr>
          <w:p>
            <w:pPr>
              <w:spacing w:after="20"/>
            </w:pPr>
            <w:r>
              <w:rPr>
                <w:b/>
                <w:sz w:val="17"/>
              </w:rPr>
              <w:t>Electronic signatures</w:t>
            </w:r>
          </w:p>
        </w:tc>
        <w:tc>
          <w:tcPr>
            <w:tcW w:type="dxa" w:w="3600"/>
            <w:tcMar>
              <w:top w:w="60" w:type="dxa"/>
              <w:left w:w="110" w:type="dxa"/>
              <w:bottom w:w="60" w:type="dxa"/>
              <w:right w:w="110" w:type="dxa"/>
            </w:tcMar>
            <w:vAlign w:val="top"/>
          </w:tcPr>
          <w:p>
            <w:pPr>
              <w:spacing w:after="20"/>
            </w:pPr>
            <w:r>
              <w:rPr>
                <w:sz w:val="17"/>
              </w:rPr>
              <w:t>IT Act 2000 (ss.3A, 5); Aadhaar eSign; DSC</w:t>
            </w:r>
          </w:p>
        </w:tc>
        <w:tc>
          <w:tcPr>
            <w:tcW w:type="dxa" w:w="3456"/>
            <w:tcMar>
              <w:top w:w="60" w:type="dxa"/>
              <w:left w:w="110" w:type="dxa"/>
              <w:bottom w:w="60" w:type="dxa"/>
              <w:right w:w="110" w:type="dxa"/>
            </w:tcMar>
            <w:vAlign w:val="top"/>
          </w:tcPr>
          <w:p>
            <w:pPr>
              <w:spacing w:after="20"/>
            </w:pPr>
            <w:r>
              <w:rPr>
                <w:sz w:val="17"/>
              </w:rPr>
              <w:t>Party/neutral signing of filings, settlements, awards</w:t>
            </w:r>
          </w:p>
        </w:tc>
      </w:tr>
      <w:tr>
        <w:tc>
          <w:tcPr>
            <w:tcW w:type="dxa" w:w="2304"/>
            <w:shd w:val="clear" w:color="auto" w:fill="EAF1F6"/>
            <w:tcMar>
              <w:top w:w="60" w:type="dxa"/>
              <w:left w:w="110" w:type="dxa"/>
              <w:bottom w:w="60" w:type="dxa"/>
              <w:right w:w="110" w:type="dxa"/>
            </w:tcMar>
            <w:vAlign w:val="top"/>
          </w:tcPr>
          <w:p>
            <w:pPr>
              <w:spacing w:after="20"/>
            </w:pPr>
            <w:r>
              <w:rPr>
                <w:b/>
                <w:sz w:val="17"/>
              </w:rPr>
              <w:t>Electronic records</w:t>
            </w:r>
          </w:p>
        </w:tc>
        <w:tc>
          <w:tcPr>
            <w:tcW w:type="dxa" w:w="3600"/>
            <w:shd w:val="clear" w:color="auto" w:fill="EAF1F6"/>
            <w:tcMar>
              <w:top w:w="60" w:type="dxa"/>
              <w:left w:w="110" w:type="dxa"/>
              <w:bottom w:w="60" w:type="dxa"/>
              <w:right w:w="110" w:type="dxa"/>
            </w:tcMar>
            <w:vAlign w:val="top"/>
          </w:tcPr>
          <w:p>
            <w:pPr>
              <w:spacing w:after="20"/>
            </w:pPr>
            <w:r>
              <w:rPr>
                <w:sz w:val="17"/>
              </w:rPr>
              <w:t>IT Act 2000; Evidence Act (electronic records)</w:t>
            </w:r>
          </w:p>
        </w:tc>
        <w:tc>
          <w:tcPr>
            <w:tcW w:type="dxa" w:w="3456"/>
            <w:shd w:val="clear" w:color="auto" w:fill="EAF1F6"/>
            <w:tcMar>
              <w:top w:w="60" w:type="dxa"/>
              <w:left w:w="110" w:type="dxa"/>
              <w:bottom w:w="60" w:type="dxa"/>
              <w:right w:w="110" w:type="dxa"/>
            </w:tcMar>
            <w:vAlign w:val="top"/>
          </w:tcPr>
          <w:p>
            <w:pPr>
              <w:spacing w:after="20"/>
            </w:pPr>
            <w:r>
              <w:rPr>
                <w:sz w:val="17"/>
              </w:rPr>
              <w:t>Admissible, hashed, timestamped records</w:t>
            </w:r>
          </w:p>
        </w:tc>
      </w:tr>
      <w:tr>
        <w:tc>
          <w:tcPr>
            <w:tcW w:type="dxa" w:w="2304"/>
            <w:tcMar>
              <w:top w:w="60" w:type="dxa"/>
              <w:left w:w="110" w:type="dxa"/>
              <w:bottom w:w="60" w:type="dxa"/>
              <w:right w:w="110" w:type="dxa"/>
            </w:tcMar>
            <w:vAlign w:val="top"/>
          </w:tcPr>
          <w:p>
            <w:pPr>
              <w:spacing w:after="20"/>
            </w:pPr>
            <w:r>
              <w:rPr>
                <w:b/>
                <w:sz w:val="17"/>
              </w:rPr>
              <w:t>e-Stamp</w:t>
            </w:r>
          </w:p>
        </w:tc>
        <w:tc>
          <w:tcPr>
            <w:tcW w:type="dxa" w:w="3600"/>
            <w:tcMar>
              <w:top w:w="60" w:type="dxa"/>
              <w:left w:w="110" w:type="dxa"/>
              <w:bottom w:w="60" w:type="dxa"/>
              <w:right w:w="110" w:type="dxa"/>
            </w:tcMar>
            <w:vAlign w:val="top"/>
          </w:tcPr>
          <w:p>
            <w:pPr>
              <w:spacing w:after="20"/>
            </w:pPr>
            <w:r>
              <w:rPr>
                <w:sz w:val="17"/>
              </w:rPr>
              <w:t>Indian Stamp Act + state rules; SHCIL e-stamp</w:t>
            </w:r>
          </w:p>
        </w:tc>
        <w:tc>
          <w:tcPr>
            <w:tcW w:type="dxa" w:w="3456"/>
            <w:tcMar>
              <w:top w:w="60" w:type="dxa"/>
              <w:left w:w="110" w:type="dxa"/>
              <w:bottom w:w="60" w:type="dxa"/>
              <w:right w:w="110" w:type="dxa"/>
            </w:tcMar>
            <w:vAlign w:val="top"/>
          </w:tcPr>
          <w:p>
            <w:pPr>
              <w:spacing w:after="20"/>
            </w:pPr>
            <w:r>
              <w:rPr>
                <w:sz w:val="17"/>
              </w:rPr>
              <w:t>Stamp duty on settlements/awards where payable</w:t>
            </w:r>
          </w:p>
        </w:tc>
      </w:tr>
      <w:tr>
        <w:tc>
          <w:tcPr>
            <w:tcW w:type="dxa" w:w="2304"/>
            <w:shd w:val="clear" w:color="auto" w:fill="EAF1F6"/>
            <w:tcMar>
              <w:top w:w="60" w:type="dxa"/>
              <w:left w:w="110" w:type="dxa"/>
              <w:bottom w:w="60" w:type="dxa"/>
              <w:right w:w="110" w:type="dxa"/>
            </w:tcMar>
            <w:vAlign w:val="top"/>
          </w:tcPr>
          <w:p>
            <w:pPr>
              <w:spacing w:after="20"/>
            </w:pPr>
            <w:r>
              <w:rPr>
                <w:b/>
                <w:sz w:val="17"/>
              </w:rPr>
              <w:t>Digital Document Execution</w:t>
            </w:r>
          </w:p>
        </w:tc>
        <w:tc>
          <w:tcPr>
            <w:tcW w:type="dxa" w:w="3600"/>
            <w:shd w:val="clear" w:color="auto" w:fill="EAF1F6"/>
            <w:tcMar>
              <w:top w:w="60" w:type="dxa"/>
              <w:left w:w="110" w:type="dxa"/>
              <w:bottom w:w="60" w:type="dxa"/>
              <w:right w:w="110" w:type="dxa"/>
            </w:tcMar>
            <w:vAlign w:val="top"/>
          </w:tcPr>
          <w:p>
            <w:pPr>
              <w:spacing w:after="20"/>
            </w:pPr>
            <w:r>
              <w:rPr>
                <w:sz w:val="17"/>
              </w:rPr>
              <w:t>NeSL DDE (Information Utility under IBC)</w:t>
            </w:r>
          </w:p>
        </w:tc>
        <w:tc>
          <w:tcPr>
            <w:tcW w:type="dxa" w:w="3456"/>
            <w:shd w:val="clear" w:color="auto" w:fill="EAF1F6"/>
            <w:tcMar>
              <w:top w:w="60" w:type="dxa"/>
              <w:left w:w="110" w:type="dxa"/>
              <w:bottom w:w="60" w:type="dxa"/>
              <w:right w:w="110" w:type="dxa"/>
            </w:tcMar>
            <w:vAlign w:val="top"/>
          </w:tcPr>
          <w:p>
            <w:pPr>
              <w:spacing w:after="20"/>
            </w:pPr>
            <w:r>
              <w:rPr>
                <w:sz w:val="17"/>
              </w:rPr>
              <w:t>Combined e-stamp + e-sign in one real-time flow</w:t>
            </w:r>
          </w:p>
        </w:tc>
      </w:tr>
      <w:tr>
        <w:tc>
          <w:tcPr>
            <w:tcW w:type="dxa" w:w="2304"/>
            <w:tcMar>
              <w:top w:w="60" w:type="dxa"/>
              <w:left w:w="110" w:type="dxa"/>
              <w:bottom w:w="60" w:type="dxa"/>
              <w:right w:w="110" w:type="dxa"/>
            </w:tcMar>
            <w:vAlign w:val="top"/>
          </w:tcPr>
          <w:p>
            <w:pPr>
              <w:spacing w:after="20"/>
            </w:pPr>
            <w:r>
              <w:rPr>
                <w:b/>
                <w:sz w:val="17"/>
              </w:rPr>
              <w:t>Qualified timestamp</w:t>
            </w:r>
          </w:p>
        </w:tc>
        <w:tc>
          <w:tcPr>
            <w:tcW w:type="dxa" w:w="3600"/>
            <w:tcMar>
              <w:top w:w="60" w:type="dxa"/>
              <w:left w:w="110" w:type="dxa"/>
              <w:bottom w:w="60" w:type="dxa"/>
              <w:right w:w="110" w:type="dxa"/>
            </w:tcMar>
            <w:vAlign w:val="top"/>
          </w:tcPr>
          <w:p>
            <w:pPr>
              <w:spacing w:after="20"/>
            </w:pPr>
            <w:r>
              <w:rPr>
                <w:sz w:val="17"/>
              </w:rPr>
              <w:t>Trust-service timestamping</w:t>
            </w:r>
          </w:p>
        </w:tc>
        <w:tc>
          <w:tcPr>
            <w:tcW w:type="dxa" w:w="3456"/>
            <w:tcMar>
              <w:top w:w="60" w:type="dxa"/>
              <w:left w:w="110" w:type="dxa"/>
              <w:bottom w:w="60" w:type="dxa"/>
              <w:right w:w="110" w:type="dxa"/>
            </w:tcMar>
            <w:vAlign w:val="top"/>
          </w:tcPr>
          <w:p>
            <w:pPr>
              <w:spacing w:after="20"/>
            </w:pPr>
            <w:r>
              <w:rPr>
                <w:sz w:val="17"/>
              </w:rPr>
              <w:t>Presumption of integrity/time on awards &amp; evidence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Stamp duty is state-specific.  </w:t>
            </w:r>
            <w:r>
              <w:rPr>
                <w:color w:val="1A1A1A"/>
                <w:sz w:val="19"/>
              </w:rPr>
              <w:t>Stamp duty on settlements and awards varies by state and instrument; the platform computes duty from a configurable, per-state stamp-duty table and applies e-stamp accordingly. Keep the table current with a named owner.</w:t>
            </w:r>
          </w:p>
        </w:tc>
      </w:tr>
    </w:tbl>
    <w:p>
      <w:pPr>
        <w:spacing w:after="40"/>
      </w:pPr>
    </w:p>
    <w:p>
      <w:pPr>
        <w:pStyle w:val="Heading1"/>
      </w:pPr>
      <w:r>
        <w:t>14. Arbitrability &amp; Non-Arbitrable Matters</w:t>
      </w:r>
    </w:p>
    <w:p>
      <w:pPr>
        <w:spacing w:after="120"/>
      </w:pPr>
      <w:r>
        <w:rPr>
          <w:b w:val="0"/>
        </w:rPr>
        <w:t>The platform encodes non-arbitrable / non-mediable subject-matter as flags that block the wrong pathway: e.g., criminal matters, insolvency, matrimonial status and child custody (adjudication), tenancy governed by special statutes, oppression/mismanagement (NCLT), and matters affecting third-party rights in rem. Money sub-issues within otherwise non-arbitrable disputes may proceed where the parties consent and the law allows.</w:t>
      </w:r>
    </w:p>
    <w:p>
      <w:pPr>
        <w:pStyle w:val="Heading1"/>
      </w:pPr>
      <w:r>
        <w:t>15. Compliance Calendar (data-protection)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3456"/>
            <w:shd w:val="clear" w:color="auto" w:fill="0B2E4F"/>
            <w:tcMar>
              <w:top w:w="60" w:type="dxa"/>
              <w:left w:w="110" w:type="dxa"/>
              <w:bottom w:w="60" w:type="dxa"/>
              <w:right w:w="110" w:type="dxa"/>
            </w:tcMar>
            <w:vAlign w:val="center"/>
          </w:tcPr>
          <w:p>
            <w:pPr>
              <w:spacing w:after="20"/>
            </w:pPr>
            <w:r>
              <w:rPr>
                <w:b/>
                <w:color w:val="FFFFFF"/>
                <w:sz w:val="18"/>
              </w:rPr>
              <w:t>Milestone</w:t>
            </w:r>
          </w:p>
        </w:tc>
        <w:tc>
          <w:tcPr>
            <w:tcW w:type="dxa" w:w="2016"/>
            <w:shd w:val="clear" w:color="auto" w:fill="0B2E4F"/>
            <w:tcMar>
              <w:top w:w="60" w:type="dxa"/>
              <w:left w:w="110" w:type="dxa"/>
              <w:bottom w:w="60" w:type="dxa"/>
              <w:right w:w="110" w:type="dxa"/>
            </w:tcMar>
            <w:vAlign w:val="center"/>
          </w:tcPr>
          <w:p>
            <w:pPr>
              <w:spacing w:after="20"/>
            </w:pPr>
            <w:r>
              <w:rPr>
                <w:b/>
                <w:color w:val="FFFFFF"/>
                <w:sz w:val="18"/>
              </w:rPr>
              <w:t>Date</w:t>
            </w:r>
          </w:p>
        </w:tc>
        <w:tc>
          <w:tcPr>
            <w:tcW w:type="dxa" w:w="3888"/>
            <w:shd w:val="clear" w:color="auto" w:fill="0B2E4F"/>
            <w:tcMar>
              <w:top w:w="60" w:type="dxa"/>
              <w:left w:w="110" w:type="dxa"/>
              <w:bottom w:w="60" w:type="dxa"/>
              <w:right w:w="110" w:type="dxa"/>
            </w:tcMar>
            <w:vAlign w:val="center"/>
          </w:tcPr>
          <w:p>
            <w:pPr>
              <w:spacing w:after="20"/>
            </w:pPr>
            <w:r>
              <w:rPr>
                <w:b/>
                <w:color w:val="FFFFFF"/>
                <w:sz w:val="18"/>
              </w:rPr>
              <w:t>Action</w:t>
            </w:r>
          </w:p>
        </w:tc>
      </w:tr>
      <w:tr>
        <w:tc>
          <w:tcPr>
            <w:tcW w:type="dxa" w:w="3456"/>
            <w:tcMar>
              <w:top w:w="60" w:type="dxa"/>
              <w:left w:w="110" w:type="dxa"/>
              <w:bottom w:w="60" w:type="dxa"/>
              <w:right w:w="110" w:type="dxa"/>
            </w:tcMar>
            <w:vAlign w:val="top"/>
          </w:tcPr>
          <w:p>
            <w:pPr>
              <w:spacing w:after="20"/>
            </w:pPr>
            <w:r>
              <w:rPr>
                <w:b/>
                <w:sz w:val="18"/>
              </w:rPr>
              <w:t>DPDP Rules 2025 notified</w:t>
            </w:r>
          </w:p>
        </w:tc>
        <w:tc>
          <w:tcPr>
            <w:tcW w:type="dxa" w:w="2016"/>
            <w:tcMar>
              <w:top w:w="60" w:type="dxa"/>
              <w:left w:w="110" w:type="dxa"/>
              <w:bottom w:w="60" w:type="dxa"/>
              <w:right w:w="110" w:type="dxa"/>
            </w:tcMar>
            <w:vAlign w:val="top"/>
          </w:tcPr>
          <w:p>
            <w:pPr>
              <w:spacing w:after="20"/>
            </w:pPr>
            <w:r>
              <w:rPr>
                <w:sz w:val="18"/>
              </w:rPr>
              <w:t>14 Nov 2025</w:t>
            </w:r>
          </w:p>
        </w:tc>
        <w:tc>
          <w:tcPr>
            <w:tcW w:type="dxa" w:w="3888"/>
            <w:tcMar>
              <w:top w:w="60" w:type="dxa"/>
              <w:left w:w="110" w:type="dxa"/>
              <w:bottom w:w="60" w:type="dxa"/>
              <w:right w:w="110" w:type="dxa"/>
            </w:tcMar>
            <w:vAlign w:val="top"/>
          </w:tcPr>
          <w:p>
            <w:pPr>
              <w:spacing w:after="20"/>
            </w:pPr>
            <w:r>
              <w:rPr>
                <w:sz w:val="18"/>
              </w:rPr>
              <w:t>Baseline obligations; align consent &amp; breach processes</w:t>
            </w:r>
          </w:p>
        </w:tc>
      </w:tr>
      <w:tr>
        <w:tc>
          <w:tcPr>
            <w:tcW w:type="dxa" w:w="3456"/>
            <w:shd w:val="clear" w:color="auto" w:fill="EAF1F6"/>
            <w:tcMar>
              <w:top w:w="60" w:type="dxa"/>
              <w:left w:w="110" w:type="dxa"/>
              <w:bottom w:w="60" w:type="dxa"/>
              <w:right w:w="110" w:type="dxa"/>
            </w:tcMar>
            <w:vAlign w:val="top"/>
          </w:tcPr>
          <w:p>
            <w:pPr>
              <w:spacing w:after="20"/>
            </w:pPr>
            <w:r>
              <w:rPr>
                <w:b/>
                <w:sz w:val="18"/>
              </w:rPr>
              <w:t>Consent Manager framework live</w:t>
            </w:r>
          </w:p>
        </w:tc>
        <w:tc>
          <w:tcPr>
            <w:tcW w:type="dxa" w:w="2016"/>
            <w:shd w:val="clear" w:color="auto" w:fill="EAF1F6"/>
            <w:tcMar>
              <w:top w:w="60" w:type="dxa"/>
              <w:left w:w="110" w:type="dxa"/>
              <w:bottom w:w="60" w:type="dxa"/>
              <w:right w:w="110" w:type="dxa"/>
            </w:tcMar>
            <w:vAlign w:val="top"/>
          </w:tcPr>
          <w:p>
            <w:pPr>
              <w:spacing w:after="20"/>
            </w:pPr>
            <w:r>
              <w:rPr>
                <w:sz w:val="18"/>
              </w:rPr>
              <w:t>13 Nov 2026</w:t>
            </w:r>
          </w:p>
        </w:tc>
        <w:tc>
          <w:tcPr>
            <w:tcW w:type="dxa" w:w="3888"/>
            <w:shd w:val="clear" w:color="auto" w:fill="EAF1F6"/>
            <w:tcMar>
              <w:top w:w="60" w:type="dxa"/>
              <w:left w:w="110" w:type="dxa"/>
              <w:bottom w:w="60" w:type="dxa"/>
              <w:right w:w="110" w:type="dxa"/>
            </w:tcMar>
            <w:vAlign w:val="top"/>
          </w:tcPr>
          <w:p>
            <w:pPr>
              <w:spacing w:after="20"/>
            </w:pPr>
            <w:r>
              <w:rPr>
                <w:sz w:val="18"/>
              </w:rPr>
              <w:t>Integrate with registered consent managers</w:t>
            </w:r>
          </w:p>
        </w:tc>
      </w:tr>
      <w:tr>
        <w:tc>
          <w:tcPr>
            <w:tcW w:type="dxa" w:w="3456"/>
            <w:tcMar>
              <w:top w:w="60" w:type="dxa"/>
              <w:left w:w="110" w:type="dxa"/>
              <w:bottom w:w="60" w:type="dxa"/>
              <w:right w:w="110" w:type="dxa"/>
            </w:tcMar>
            <w:vAlign w:val="top"/>
          </w:tcPr>
          <w:p>
            <w:pPr>
              <w:spacing w:after="20"/>
            </w:pPr>
            <w:r>
              <w:rPr>
                <w:b/>
                <w:sz w:val="18"/>
              </w:rPr>
              <w:t>Substantive obligations enforceable</w:t>
            </w:r>
          </w:p>
        </w:tc>
        <w:tc>
          <w:tcPr>
            <w:tcW w:type="dxa" w:w="2016"/>
            <w:tcMar>
              <w:top w:w="60" w:type="dxa"/>
              <w:left w:w="110" w:type="dxa"/>
              <w:bottom w:w="60" w:type="dxa"/>
              <w:right w:w="110" w:type="dxa"/>
            </w:tcMar>
            <w:vAlign w:val="top"/>
          </w:tcPr>
          <w:p>
            <w:pPr>
              <w:spacing w:after="20"/>
            </w:pPr>
            <w:r>
              <w:rPr>
                <w:sz w:val="18"/>
              </w:rPr>
              <w:t>~mid-May 2027</w:t>
            </w:r>
          </w:p>
        </w:tc>
        <w:tc>
          <w:tcPr>
            <w:tcW w:type="dxa" w:w="3888"/>
            <w:tcMar>
              <w:top w:w="60" w:type="dxa"/>
              <w:left w:w="110" w:type="dxa"/>
              <w:bottom w:w="60" w:type="dxa"/>
              <w:right w:w="110" w:type="dxa"/>
            </w:tcMar>
            <w:vAlign w:val="top"/>
          </w:tcPr>
          <w:p>
            <w:pPr>
              <w:spacing w:after="20"/>
            </w:pPr>
            <w:r>
              <w:rPr>
                <w:sz w:val="18"/>
              </w:rPr>
              <w:t>Full DPDP operational compliance; SDF duties if designated</w:t>
            </w:r>
          </w:p>
        </w:tc>
      </w:tr>
    </w:tbl>
    <w:p>
      <w:pPr>
        <w:spacing w:after="40"/>
      </w:pPr>
    </w:p>
    <w:p>
      <w:pPr>
        <w:pStyle w:val="Heading1"/>
      </w:pPr>
      <w:r>
        <w:t>16. Sources (selected, July 2026)</w:t>
      </w:r>
    </w:p>
    <w:p>
      <w:pPr>
        <w:pStyle w:val="ListBullet"/>
      </w:pPr>
      <w:r>
        <w:t>Arbitration &amp; Conciliation Act 1996; Draft Arbitration &amp; Conciliation (Amendment) Bill 2024 (PIB; White &amp; Case; iPleaders).</w:t>
      </w:r>
    </w:p>
    <w:p>
      <w:pPr>
        <w:pStyle w:val="ListBullet"/>
      </w:pPr>
      <w:r>
        <w:t>Mediation Act 2023 (India Code); ss.27–28 analyses (IBC Laws; JSA; Nishith Desai).</w:t>
      </w:r>
    </w:p>
    <w:p>
      <w:pPr>
        <w:pStyle w:val="ListBullet"/>
      </w:pPr>
      <w:r>
        <w:t>MSMED Act 2006 ss.15–19; MSME Samadhaan; Supreme Court 2025 on limitation (SCC Online).</w:t>
      </w:r>
    </w:p>
    <w:p>
      <w:pPr>
        <w:pStyle w:val="ListBullet"/>
      </w:pPr>
      <w:r>
        <w:t>Commercial Courts Act 2015 s.12A; Consumer Protection Act 2019 (e-Daakhil).</w:t>
      </w:r>
    </w:p>
    <w:p>
      <w:pPr>
        <w:pStyle w:val="ListBullet"/>
      </w:pPr>
      <w:r>
        <w:t>SEBI ODR Master Circular 2023; SMART ODR portal (smartodr.in).</w:t>
      </w:r>
    </w:p>
    <w:p>
      <w:pPr>
        <w:pStyle w:val="ListBullet"/>
      </w:pPr>
      <w:r>
        <w:t>New York Convention 1958 (UNCITRAL); Singapore Convention on Mediation 2019 (India signatory status).</w:t>
      </w:r>
    </w:p>
    <w:p>
      <w:pPr>
        <w:pStyle w:val="ListBullet"/>
      </w:pPr>
      <w:r>
        <w:t>NeSL Digital Document Execution; IT Act 2000; DPDP Rules 2025 (MeitY / EY / Lexology).</w:t>
      </w:r>
    </w:p>
    <w:p>
      <w:pPr>
        <w:spacing w:after="120"/>
      </w:pPr>
      <w:r>
        <w:rPr>
          <w:b w:val="0"/>
          <w:color w:val="5A6B7B"/>
          <w:sz w:val="18"/>
        </w:rPr>
        <w:t>End of EQR-04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