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C · PRODUCT &amp; PROCESS</w:t>
      </w:r>
    </w:p>
    <w:p>
      <w:pPr>
        <w:pStyle w:val="Title"/>
        <w:pBdr>
          <w:bottom w:val="single" w:sz="20" w:space="6" w:color="B98A2E"/>
        </w:pBdr>
      </w:pPr>
      <w:r>
        <w:t>Neutrals Lifecycle &amp; Governance</w:t>
      </w:r>
    </w:p>
    <w:p>
      <w:pPr>
        <w:spacing w:after="280"/>
      </w:pPr>
      <w:r>
        <w:rPr>
          <w:i/>
          <w:color w:val="5A6B7B"/>
          <w:sz w:val="25"/>
        </w:rPr>
        <w:t>The full lifecycle of Equator's arbitrators, mediators, conciliators and case managers — how they are onboarded, allocated work, paid, measured, governed, retired, and held to account through a complaints and discipline mechanism.</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EQR-05</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Neutrals Lifecycle &amp; Governance</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Head of Panel / Institution</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EQR-02 (allocation/conflicts) · EQR-08 (fees/payouts) · EQR-12 (neutral forms) · Equator ADR Institute (training)</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w:t>
      </w:r>
    </w:p>
    <w:p>
      <w:pPr>
        <w:spacing w:after="120"/>
      </w:pPr>
      <w:r>
        <w:rPr>
          <w:b w:val="0"/>
        </w:rPr>
        <w:t>Neutrals are the supply side of the marketplace and the single most important determinant of outcome quality and trust. This document specifies their entire lifecycle on the platform — from application through empanelment, allocation, active work, fee disposition, performance, retirement, and the complaint and discipline mechanism that keeps the panel credible. It also defines the dashboards and functionality each neutral persona needs.</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Supply is the moat.  </w:t>
            </w:r>
            <w:r>
              <w:rPr>
                <w:color w:val="1A1A1A"/>
                <w:sz w:val="19"/>
              </w:rPr>
              <w:t>India's ODR policy explicitly names neutral supply as the bottleneck. Equator turns training into supply: the Equator ADR Institute (equatoradr.com) certifies neutrals who then flow into empanelment. This document defines the platform side of that funnel.</w:t>
            </w:r>
          </w:p>
        </w:tc>
      </w:tr>
    </w:tbl>
    <w:p>
      <w:pPr>
        <w:spacing w:after="40"/>
      </w:pPr>
    </w:p>
    <w:p>
      <w:pPr>
        <w:pStyle w:val="Heading1"/>
      </w:pPr>
      <w:r>
        <w:t>2. Neutral Personas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1872"/>
            <w:shd w:val="clear" w:color="auto" w:fill="0B2E4F"/>
            <w:tcMar>
              <w:top w:w="60" w:type="dxa"/>
              <w:left w:w="110" w:type="dxa"/>
              <w:bottom w:w="60" w:type="dxa"/>
              <w:right w:w="110" w:type="dxa"/>
            </w:tcMar>
            <w:vAlign w:val="center"/>
          </w:tcPr>
          <w:p>
            <w:pPr>
              <w:spacing w:after="20"/>
            </w:pPr>
            <w:r>
              <w:rPr>
                <w:b/>
                <w:color w:val="FFFFFF"/>
                <w:sz w:val="18"/>
              </w:rPr>
              <w:t>Persona</w:t>
            </w:r>
          </w:p>
        </w:tc>
        <w:tc>
          <w:tcPr>
            <w:tcW w:type="dxa" w:w="3888"/>
            <w:shd w:val="clear" w:color="auto" w:fill="0B2E4F"/>
            <w:tcMar>
              <w:top w:w="60" w:type="dxa"/>
              <w:left w:w="110" w:type="dxa"/>
              <w:bottom w:w="60" w:type="dxa"/>
              <w:right w:w="110" w:type="dxa"/>
            </w:tcMar>
            <w:vAlign w:val="center"/>
          </w:tcPr>
          <w:p>
            <w:pPr>
              <w:spacing w:after="20"/>
            </w:pPr>
            <w:r>
              <w:rPr>
                <w:b/>
                <w:color w:val="FFFFFF"/>
                <w:sz w:val="18"/>
              </w:rPr>
              <w:t>Role</w:t>
            </w:r>
          </w:p>
        </w:tc>
        <w:tc>
          <w:tcPr>
            <w:tcW w:type="dxa" w:w="3600"/>
            <w:shd w:val="clear" w:color="auto" w:fill="0B2E4F"/>
            <w:tcMar>
              <w:top w:w="60" w:type="dxa"/>
              <w:left w:w="110" w:type="dxa"/>
              <w:bottom w:w="60" w:type="dxa"/>
              <w:right w:w="110" w:type="dxa"/>
            </w:tcMar>
            <w:vAlign w:val="center"/>
          </w:tcPr>
          <w:p>
            <w:pPr>
              <w:spacing w:after="20"/>
            </w:pPr>
            <w:r>
              <w:rPr>
                <w:b/>
                <w:color w:val="FFFFFF"/>
                <w:sz w:val="18"/>
              </w:rPr>
              <w:t>Accreditation anchor</w:t>
            </w:r>
          </w:p>
        </w:tc>
      </w:tr>
      <w:tr>
        <w:tc>
          <w:tcPr>
            <w:tcW w:type="dxa" w:w="1872"/>
            <w:tcMar>
              <w:top w:w="60" w:type="dxa"/>
              <w:left w:w="110" w:type="dxa"/>
              <w:bottom w:w="60" w:type="dxa"/>
              <w:right w:w="110" w:type="dxa"/>
            </w:tcMar>
            <w:vAlign w:val="top"/>
          </w:tcPr>
          <w:p>
            <w:pPr>
              <w:spacing w:after="20"/>
            </w:pPr>
            <w:r>
              <w:rPr>
                <w:b/>
                <w:sz w:val="18"/>
              </w:rPr>
              <w:t>Arbitrator</w:t>
            </w:r>
          </w:p>
        </w:tc>
        <w:tc>
          <w:tcPr>
            <w:tcW w:type="dxa" w:w="3888"/>
            <w:tcMar>
              <w:top w:w="60" w:type="dxa"/>
              <w:left w:w="110" w:type="dxa"/>
              <w:bottom w:w="60" w:type="dxa"/>
              <w:right w:w="110" w:type="dxa"/>
            </w:tcMar>
            <w:vAlign w:val="top"/>
          </w:tcPr>
          <w:p>
            <w:pPr>
              <w:spacing w:after="20"/>
            </w:pPr>
            <w:r>
              <w:rPr>
                <w:sz w:val="18"/>
              </w:rPr>
              <w:t>Adjudicates; renders binding awards</w:t>
            </w:r>
          </w:p>
        </w:tc>
        <w:tc>
          <w:tcPr>
            <w:tcW w:type="dxa" w:w="3600"/>
            <w:tcMar>
              <w:top w:w="60" w:type="dxa"/>
              <w:left w:w="110" w:type="dxa"/>
              <w:bottom w:w="60" w:type="dxa"/>
              <w:right w:w="110" w:type="dxa"/>
            </w:tcMar>
            <w:vAlign w:val="top"/>
          </w:tcPr>
          <w:p>
            <w:pPr>
              <w:spacing w:after="20"/>
            </w:pPr>
            <w:r>
              <w:rPr>
                <w:sz w:val="18"/>
              </w:rPr>
              <w:t>Bar/experience; Arbitration Council of India (ACI) readiness; institutional grading</w:t>
            </w:r>
          </w:p>
        </w:tc>
      </w:tr>
      <w:tr>
        <w:tc>
          <w:tcPr>
            <w:tcW w:type="dxa" w:w="1872"/>
            <w:shd w:val="clear" w:color="auto" w:fill="EAF1F6"/>
            <w:tcMar>
              <w:top w:w="60" w:type="dxa"/>
              <w:left w:w="110" w:type="dxa"/>
              <w:bottom w:w="60" w:type="dxa"/>
              <w:right w:w="110" w:type="dxa"/>
            </w:tcMar>
            <w:vAlign w:val="top"/>
          </w:tcPr>
          <w:p>
            <w:pPr>
              <w:spacing w:after="20"/>
            </w:pPr>
            <w:r>
              <w:rPr>
                <w:b/>
                <w:sz w:val="18"/>
              </w:rPr>
              <w:t>Mediator</w:t>
            </w:r>
          </w:p>
        </w:tc>
        <w:tc>
          <w:tcPr>
            <w:tcW w:type="dxa" w:w="3888"/>
            <w:shd w:val="clear" w:color="auto" w:fill="EAF1F6"/>
            <w:tcMar>
              <w:top w:w="60" w:type="dxa"/>
              <w:left w:w="110" w:type="dxa"/>
              <w:bottom w:w="60" w:type="dxa"/>
              <w:right w:w="110" w:type="dxa"/>
            </w:tcMar>
            <w:vAlign w:val="top"/>
          </w:tcPr>
          <w:p>
            <w:pPr>
              <w:spacing w:after="20"/>
            </w:pPr>
            <w:r>
              <w:rPr>
                <w:sz w:val="18"/>
              </w:rPr>
              <w:t>Facilitates voluntary settlement</w:t>
            </w:r>
          </w:p>
        </w:tc>
        <w:tc>
          <w:tcPr>
            <w:tcW w:type="dxa" w:w="3600"/>
            <w:shd w:val="clear" w:color="auto" w:fill="EAF1F6"/>
            <w:tcMar>
              <w:top w:w="60" w:type="dxa"/>
              <w:left w:w="110" w:type="dxa"/>
              <w:bottom w:w="60" w:type="dxa"/>
              <w:right w:w="110" w:type="dxa"/>
            </w:tcMar>
            <w:vAlign w:val="top"/>
          </w:tcPr>
          <w:p>
            <w:pPr>
              <w:spacing w:after="20"/>
            </w:pPr>
            <w:r>
              <w:rPr>
                <w:sz w:val="18"/>
              </w:rPr>
              <w:t>Mediation Act / Mediation Council; IMI Qualified/Certified; IMI ODR Mediator</w:t>
            </w:r>
          </w:p>
        </w:tc>
      </w:tr>
      <w:tr>
        <w:tc>
          <w:tcPr>
            <w:tcW w:type="dxa" w:w="1872"/>
            <w:tcMar>
              <w:top w:w="60" w:type="dxa"/>
              <w:left w:w="110" w:type="dxa"/>
              <w:bottom w:w="60" w:type="dxa"/>
              <w:right w:w="110" w:type="dxa"/>
            </w:tcMar>
            <w:vAlign w:val="top"/>
          </w:tcPr>
          <w:p>
            <w:pPr>
              <w:spacing w:after="20"/>
            </w:pPr>
            <w:r>
              <w:rPr>
                <w:b/>
                <w:sz w:val="18"/>
              </w:rPr>
              <w:t>Conciliator</w:t>
            </w:r>
          </w:p>
        </w:tc>
        <w:tc>
          <w:tcPr>
            <w:tcW w:type="dxa" w:w="3888"/>
            <w:tcMar>
              <w:top w:w="60" w:type="dxa"/>
              <w:left w:w="110" w:type="dxa"/>
              <w:bottom w:w="60" w:type="dxa"/>
              <w:right w:w="110" w:type="dxa"/>
            </w:tcMar>
            <w:vAlign w:val="top"/>
          </w:tcPr>
          <w:p>
            <w:pPr>
              <w:spacing w:after="20"/>
            </w:pPr>
            <w:r>
              <w:rPr>
                <w:sz w:val="18"/>
              </w:rPr>
              <w:t>Actively proposes settlement terms</w:t>
            </w:r>
          </w:p>
        </w:tc>
        <w:tc>
          <w:tcPr>
            <w:tcW w:type="dxa" w:w="3600"/>
            <w:tcMar>
              <w:top w:w="60" w:type="dxa"/>
              <w:left w:w="110" w:type="dxa"/>
              <w:bottom w:w="60" w:type="dxa"/>
              <w:right w:w="110" w:type="dxa"/>
            </w:tcMar>
            <w:vAlign w:val="top"/>
          </w:tcPr>
          <w:p>
            <w:pPr>
              <w:spacing w:after="20"/>
            </w:pPr>
            <w:r>
              <w:rPr>
                <w:sz w:val="18"/>
              </w:rPr>
              <w:t>A&amp;C Act Part III; institutional accreditation</w:t>
            </w:r>
          </w:p>
        </w:tc>
      </w:tr>
      <w:tr>
        <w:tc>
          <w:tcPr>
            <w:tcW w:type="dxa" w:w="1872"/>
            <w:shd w:val="clear" w:color="auto" w:fill="EAF1F6"/>
            <w:tcMar>
              <w:top w:w="60" w:type="dxa"/>
              <w:left w:w="110" w:type="dxa"/>
              <w:bottom w:w="60" w:type="dxa"/>
              <w:right w:w="110" w:type="dxa"/>
            </w:tcMar>
            <w:vAlign w:val="top"/>
          </w:tcPr>
          <w:p>
            <w:pPr>
              <w:spacing w:after="20"/>
            </w:pPr>
            <w:r>
              <w:rPr>
                <w:b/>
                <w:sz w:val="18"/>
              </w:rPr>
              <w:t>Case Manager</w:t>
            </w:r>
          </w:p>
        </w:tc>
        <w:tc>
          <w:tcPr>
            <w:tcW w:type="dxa" w:w="3888"/>
            <w:shd w:val="clear" w:color="auto" w:fill="EAF1F6"/>
            <w:tcMar>
              <w:top w:w="60" w:type="dxa"/>
              <w:left w:w="110" w:type="dxa"/>
              <w:bottom w:w="60" w:type="dxa"/>
              <w:right w:w="110" w:type="dxa"/>
            </w:tcMar>
            <w:vAlign w:val="top"/>
          </w:tcPr>
          <w:p>
            <w:pPr>
              <w:spacing w:after="20"/>
            </w:pPr>
            <w:r>
              <w:rPr>
                <w:sz w:val="18"/>
              </w:rPr>
              <w:t>Administers case logistics for the institution</w:t>
            </w:r>
          </w:p>
        </w:tc>
        <w:tc>
          <w:tcPr>
            <w:tcW w:type="dxa" w:w="3600"/>
            <w:shd w:val="clear" w:color="auto" w:fill="EAF1F6"/>
            <w:tcMar>
              <w:top w:w="60" w:type="dxa"/>
              <w:left w:w="110" w:type="dxa"/>
              <w:bottom w:w="60" w:type="dxa"/>
              <w:right w:w="110" w:type="dxa"/>
            </w:tcMar>
            <w:vAlign w:val="top"/>
          </w:tcPr>
          <w:p>
            <w:pPr>
              <w:spacing w:after="20"/>
            </w:pPr>
            <w:r>
              <w:rPr>
                <w:sz w:val="18"/>
              </w:rPr>
              <w:t>Case-manager certification (Institute)</w:t>
            </w:r>
          </w:p>
        </w:tc>
      </w:tr>
    </w:tbl>
    <w:p>
      <w:pPr>
        <w:spacing w:after="40"/>
      </w:pPr>
    </w:p>
    <w:p>
      <w:pPr>
        <w:pStyle w:val="Heading1"/>
      </w:pPr>
      <w:r>
        <w:t>3. Onboarding &amp; Empanelment</w:t>
      </w:r>
    </w:p>
    <w:p>
      <w:pPr>
        <w:pStyle w:val="Heading2"/>
      </w:pPr>
      <w:r>
        <w:t>3.1 Application &amp; verification</w:t>
      </w:r>
    </w:p>
    <w:p>
      <w:pPr>
        <w:pStyle w:val="ListNumber"/>
      </w:pPr>
      <w:r>
        <w:t>Registration: profile, qualifications, accreditations, specialisations, languages, years of experience, jurisdictions, fee preferences, bank/KYC.</w:t>
      </w:r>
    </w:p>
    <w:p>
      <w:pPr>
        <w:pStyle w:val="ListNumber"/>
      </w:pPr>
      <w:r>
        <w:t>KYC &amp; credential verification: identity, bar/registration, accreditation certificates; document-AI assisted, human-approved.</w:t>
      </w:r>
    </w:p>
    <w:p>
      <w:pPr>
        <w:pStyle w:val="ListNumber"/>
      </w:pPr>
      <w:r>
        <w:t>Conflict baseline: declared relationships and prior engagements loaded into the conflicts graph.</w:t>
      </w:r>
    </w:p>
    <w:p>
      <w:pPr>
        <w:pStyle w:val="ListNumber"/>
      </w:pPr>
      <w:r>
        <w:t>Assessment: for mediators, alignment to IMI competency criteria (Qualified vs Certified: 200 hours / 20 mediations); for arbitrators, seniority grading.</w:t>
      </w:r>
    </w:p>
    <w:p>
      <w:pPr>
        <w:pStyle w:val="ListNumber"/>
      </w:pPr>
      <w:r>
        <w:t>Panel decision: empanelment committee approves, grades, and assigns specialisation panels and allocation eligibility.</w:t>
      </w:r>
    </w:p>
    <w:p>
      <w:pPr>
        <w:pStyle w:val="Heading2"/>
      </w:pPr>
      <w:r>
        <w:t>3.2 Empanelment record</w:t>
      </w:r>
    </w:p>
    <w:p>
      <w:pPr>
        <w:spacing w:after="120"/>
      </w:pPr>
      <w:r>
        <w:rPr>
          <w:b w:val="0"/>
        </w:rPr>
        <w:t>The empanelment record captures grade, panels (e.g., NBFC, family, commercial, POSH), languages, jurisdictions, availability, fee band, conflict declarations and status. It drives allocation eligibility and is versioned for audit.</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Academy → empanelment funnel.  </w:t>
            </w:r>
            <w:r>
              <w:rPr>
                <w:color w:val="1A1A1A"/>
                <w:sz w:val="19"/>
              </w:rPr>
              <w:t>Certified graduates of the Equator ADR Institute can apply for empanelment directly; the platform links the certificate to the application and fast-tracks verification. Training is a separate website but a connected pipeline — first-year Private Court subscription may be offered as an onboarding incentive.</w:t>
            </w:r>
          </w:p>
        </w:tc>
      </w:tr>
    </w:tbl>
    <w:p>
      <w:pPr>
        <w:spacing w:after="40"/>
      </w:pPr>
    </w:p>
    <w:p>
      <w:pPr>
        <w:pStyle w:val="Heading1"/>
      </w:pPr>
      <w:r>
        <w:t>4. Allocation of Work</w:t>
      </w:r>
    </w:p>
    <w:p>
      <w:pPr>
        <w:spacing w:after="120"/>
      </w:pPr>
      <w:r>
        <w:rPr>
          <w:b w:val="0"/>
        </w:rPr>
        <w:t>Allocation is configurable per tenant and per panel; every appointment is conflict-checked before the neutral is offered the matter.</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8"/>
              </w:rPr>
              <w:t>Method</w:t>
            </w:r>
          </w:p>
        </w:tc>
        <w:tc>
          <w:tcPr>
            <w:tcW w:type="dxa" w:w="6912"/>
            <w:shd w:val="clear" w:color="auto" w:fill="0B2E4F"/>
            <w:tcMar>
              <w:top w:w="60" w:type="dxa"/>
              <w:left w:w="110" w:type="dxa"/>
              <w:bottom w:w="60" w:type="dxa"/>
              <w:right w:w="110" w:type="dxa"/>
            </w:tcMar>
            <w:vAlign w:val="center"/>
          </w:tcPr>
          <w:p>
            <w:pPr>
              <w:spacing w:after="20"/>
            </w:pPr>
            <w:r>
              <w:rPr>
                <w:b/>
                <w:color w:val="FFFFFF"/>
                <w:sz w:val="18"/>
              </w:rPr>
              <w:t>When used</w:t>
            </w:r>
          </w:p>
        </w:tc>
      </w:tr>
      <w:tr>
        <w:tc>
          <w:tcPr>
            <w:tcW w:type="dxa" w:w="2448"/>
            <w:tcMar>
              <w:top w:w="60" w:type="dxa"/>
              <w:left w:w="110" w:type="dxa"/>
              <w:bottom w:w="60" w:type="dxa"/>
              <w:right w:w="110" w:type="dxa"/>
            </w:tcMar>
            <w:vAlign w:val="top"/>
          </w:tcPr>
          <w:p>
            <w:pPr>
              <w:spacing w:after="20"/>
            </w:pPr>
            <w:r>
              <w:rPr>
                <w:b/>
                <w:sz w:val="18"/>
              </w:rPr>
              <w:t>Round-robin</w:t>
            </w:r>
          </w:p>
        </w:tc>
        <w:tc>
          <w:tcPr>
            <w:tcW w:type="dxa" w:w="6912"/>
            <w:tcMar>
              <w:top w:w="60" w:type="dxa"/>
              <w:left w:w="110" w:type="dxa"/>
              <w:bottom w:w="60" w:type="dxa"/>
              <w:right w:w="110" w:type="dxa"/>
            </w:tcMar>
            <w:vAlign w:val="top"/>
          </w:tcPr>
          <w:p>
            <w:pPr>
              <w:spacing w:after="20"/>
            </w:pPr>
            <w:r>
              <w:rPr>
                <w:sz w:val="18"/>
              </w:rPr>
              <w:t>Fairness/throughput (SEBI SMART-ODR-style; NBFC volume)</w:t>
            </w:r>
          </w:p>
        </w:tc>
      </w:tr>
      <w:tr>
        <w:tc>
          <w:tcPr>
            <w:tcW w:type="dxa" w:w="2448"/>
            <w:shd w:val="clear" w:color="auto" w:fill="EAF1F6"/>
            <w:tcMar>
              <w:top w:w="60" w:type="dxa"/>
              <w:left w:w="110" w:type="dxa"/>
              <w:bottom w:w="60" w:type="dxa"/>
              <w:right w:w="110" w:type="dxa"/>
            </w:tcMar>
            <w:vAlign w:val="top"/>
          </w:tcPr>
          <w:p>
            <w:pPr>
              <w:spacing w:after="20"/>
            </w:pPr>
            <w:r>
              <w:rPr>
                <w:b/>
                <w:sz w:val="18"/>
              </w:rPr>
              <w:t>Load-balanced</w:t>
            </w:r>
          </w:p>
        </w:tc>
        <w:tc>
          <w:tcPr>
            <w:tcW w:type="dxa" w:w="6912"/>
            <w:shd w:val="clear" w:color="auto" w:fill="EAF1F6"/>
            <w:tcMar>
              <w:top w:w="60" w:type="dxa"/>
              <w:left w:w="110" w:type="dxa"/>
              <w:bottom w:w="60" w:type="dxa"/>
              <w:right w:w="110" w:type="dxa"/>
            </w:tcMar>
            <w:vAlign w:val="top"/>
          </w:tcPr>
          <w:p>
            <w:pPr>
              <w:spacing w:after="20"/>
            </w:pPr>
            <w:r>
              <w:rPr>
                <w:sz w:val="18"/>
              </w:rPr>
              <w:t>Even caseload across available neutrals</w:t>
            </w:r>
          </w:p>
        </w:tc>
      </w:tr>
      <w:tr>
        <w:tc>
          <w:tcPr>
            <w:tcW w:type="dxa" w:w="2448"/>
            <w:tcMar>
              <w:top w:w="60" w:type="dxa"/>
              <w:left w:w="110" w:type="dxa"/>
              <w:bottom w:w="60" w:type="dxa"/>
              <w:right w:w="110" w:type="dxa"/>
            </w:tcMar>
            <w:vAlign w:val="top"/>
          </w:tcPr>
          <w:p>
            <w:pPr>
              <w:spacing w:after="20"/>
            </w:pPr>
            <w:r>
              <w:rPr>
                <w:b/>
                <w:sz w:val="18"/>
              </w:rPr>
              <w:t>Rules-based</w:t>
            </w:r>
          </w:p>
        </w:tc>
        <w:tc>
          <w:tcPr>
            <w:tcW w:type="dxa" w:w="6912"/>
            <w:tcMar>
              <w:top w:w="60" w:type="dxa"/>
              <w:left w:w="110" w:type="dxa"/>
              <w:bottom w:w="60" w:type="dxa"/>
              <w:right w:w="110" w:type="dxa"/>
            </w:tcMar>
            <w:vAlign w:val="top"/>
          </w:tcPr>
          <w:p>
            <w:pPr>
              <w:spacing w:after="20"/>
            </w:pPr>
            <w:r>
              <w:rPr>
                <w:sz w:val="18"/>
              </w:rPr>
              <w:t>Match by specialisation, language, jurisdiction, value band, seniority</w:t>
            </w:r>
          </w:p>
        </w:tc>
      </w:tr>
      <w:tr>
        <w:tc>
          <w:tcPr>
            <w:tcW w:type="dxa" w:w="2448"/>
            <w:shd w:val="clear" w:color="auto" w:fill="EAF1F6"/>
            <w:tcMar>
              <w:top w:w="60" w:type="dxa"/>
              <w:left w:w="110" w:type="dxa"/>
              <w:bottom w:w="60" w:type="dxa"/>
              <w:right w:w="110" w:type="dxa"/>
            </w:tcMar>
            <w:vAlign w:val="top"/>
          </w:tcPr>
          <w:p>
            <w:pPr>
              <w:spacing w:after="20"/>
            </w:pPr>
            <w:r>
              <w:rPr>
                <w:b/>
                <w:sz w:val="18"/>
              </w:rPr>
              <w:t>Party nomination</w:t>
            </w:r>
          </w:p>
        </w:tc>
        <w:tc>
          <w:tcPr>
            <w:tcW w:type="dxa" w:w="6912"/>
            <w:shd w:val="clear" w:color="auto" w:fill="EAF1F6"/>
            <w:tcMar>
              <w:top w:w="60" w:type="dxa"/>
              <w:left w:w="110" w:type="dxa"/>
              <w:bottom w:w="60" w:type="dxa"/>
              <w:right w:w="110" w:type="dxa"/>
            </w:tcMar>
            <w:vAlign w:val="top"/>
          </w:tcPr>
          <w:p>
            <w:pPr>
              <w:spacing w:after="20"/>
            </w:pPr>
            <w:r>
              <w:rPr>
                <w:sz w:val="18"/>
              </w:rPr>
              <w:t>Commercial/international where the clause allows party choice</w:t>
            </w:r>
          </w:p>
        </w:tc>
      </w:tr>
      <w:tr>
        <w:tc>
          <w:tcPr>
            <w:tcW w:type="dxa" w:w="2448"/>
            <w:tcMar>
              <w:top w:w="60" w:type="dxa"/>
              <w:left w:w="110" w:type="dxa"/>
              <w:bottom w:w="60" w:type="dxa"/>
              <w:right w:w="110" w:type="dxa"/>
            </w:tcMar>
            <w:vAlign w:val="top"/>
          </w:tcPr>
          <w:p>
            <w:pPr>
              <w:spacing w:after="20"/>
            </w:pPr>
            <w:r>
              <w:rPr>
                <w:b/>
                <w:sz w:val="18"/>
              </w:rPr>
              <w:t>Manual</w:t>
            </w:r>
          </w:p>
        </w:tc>
        <w:tc>
          <w:tcPr>
            <w:tcW w:type="dxa" w:w="6912"/>
            <w:tcMar>
              <w:top w:w="60" w:type="dxa"/>
              <w:left w:w="110" w:type="dxa"/>
              <w:bottom w:w="60" w:type="dxa"/>
              <w:right w:w="110" w:type="dxa"/>
            </w:tcMar>
            <w:vAlign w:val="top"/>
          </w:tcPr>
          <w:p>
            <w:pPr>
              <w:spacing w:after="20"/>
            </w:pPr>
            <w:r>
              <w:rPr>
                <w:sz w:val="18"/>
              </w:rPr>
              <w:t>Institution admin assigns for sensitive or complex matters</w:t>
            </w:r>
          </w:p>
        </w:tc>
      </w:tr>
    </w:tbl>
    <w:p>
      <w:pPr>
        <w:spacing w:after="40"/>
      </w:pPr>
    </w:p>
    <w:p>
      <w:pPr>
        <w:pStyle w:val="ListBullet"/>
      </w:pPr>
      <w:r>
        <w:rPr>
          <w:b/>
        </w:rPr>
        <w:t xml:space="preserve">Conflict check: </w:t>
      </w:r>
      <w:r>
        <w:t>The conflicts engine tests the proposed neutral against the parties, representatives and related entities (graph traversal); a conflict blocks the offer.</w:t>
      </w:r>
    </w:p>
    <w:p>
      <w:pPr>
        <w:pStyle w:val="ListBullet"/>
      </w:pPr>
      <w:r>
        <w:rPr>
          <w:b/>
        </w:rPr>
        <w:t xml:space="preserve">Accept / decline: </w:t>
      </w:r>
      <w:r>
        <w:t>The neutral accepts or declines with a reason and a fresh conflict declaration; declines re-trigger allocation.</w:t>
      </w:r>
    </w:p>
    <w:p>
      <w:pPr>
        <w:pStyle w:val="ListBullet"/>
      </w:pPr>
      <w:r>
        <w:rPr>
          <w:b/>
        </w:rPr>
        <w:t xml:space="preserve">Reassignment: </w:t>
      </w:r>
      <w:r>
        <w:t>Illness, delay or successful challenge triggers substitution with case-history handover.</w:t>
      </w:r>
    </w:p>
    <w:p>
      <w:pPr>
        <w:pStyle w:val="Heading1"/>
      </w:pPr>
      <w:r>
        <w:t>5. Working — Dashboard &amp; Functionality</w:t>
      </w:r>
    </w:p>
    <w:p>
      <w:pPr>
        <w:spacing w:after="120"/>
      </w:pPr>
      <w:r>
        <w:rPr>
          <w:b w:val="0"/>
        </w:rPr>
        <w:t>The neutral workspace is the neutral's home. It is caseload-centric, clock-aware and confidentiality-aware.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8"/>
              </w:rPr>
              <w:t>Area</w:t>
            </w:r>
          </w:p>
        </w:tc>
        <w:tc>
          <w:tcPr>
            <w:tcW w:type="dxa" w:w="6912"/>
            <w:shd w:val="clear" w:color="auto" w:fill="0B2E4F"/>
            <w:tcMar>
              <w:top w:w="60" w:type="dxa"/>
              <w:left w:w="110" w:type="dxa"/>
              <w:bottom w:w="60" w:type="dxa"/>
              <w:right w:w="110" w:type="dxa"/>
            </w:tcMar>
            <w:vAlign w:val="center"/>
          </w:tcPr>
          <w:p>
            <w:pPr>
              <w:spacing w:after="20"/>
            </w:pPr>
            <w:r>
              <w:rPr>
                <w:b/>
                <w:color w:val="FFFFFF"/>
                <w:sz w:val="18"/>
              </w:rPr>
              <w:t>Functionality</w:t>
            </w:r>
          </w:p>
        </w:tc>
      </w:tr>
      <w:tr>
        <w:tc>
          <w:tcPr>
            <w:tcW w:type="dxa" w:w="2448"/>
            <w:tcMar>
              <w:top w:w="60" w:type="dxa"/>
              <w:left w:w="110" w:type="dxa"/>
              <w:bottom w:w="60" w:type="dxa"/>
              <w:right w:w="110" w:type="dxa"/>
            </w:tcMar>
            <w:vAlign w:val="top"/>
          </w:tcPr>
          <w:p>
            <w:pPr>
              <w:spacing w:after="20"/>
            </w:pPr>
            <w:r>
              <w:rPr>
                <w:b/>
                <w:sz w:val="18"/>
              </w:rPr>
              <w:t>My cases</w:t>
            </w:r>
          </w:p>
        </w:tc>
        <w:tc>
          <w:tcPr>
            <w:tcW w:type="dxa" w:w="6912"/>
            <w:tcMar>
              <w:top w:w="60" w:type="dxa"/>
              <w:left w:w="110" w:type="dxa"/>
              <w:bottom w:w="60" w:type="dxa"/>
              <w:right w:w="110" w:type="dxa"/>
            </w:tcMar>
            <w:vAlign w:val="top"/>
          </w:tcPr>
          <w:p>
            <w:pPr>
              <w:spacing w:after="20"/>
            </w:pPr>
            <w:r>
              <w:rPr>
                <w:sz w:val="18"/>
              </w:rPr>
              <w:t>Active matters with stage, next action, and clock status (amber/red before breach)</w:t>
            </w:r>
          </w:p>
        </w:tc>
      </w:tr>
      <w:tr>
        <w:tc>
          <w:tcPr>
            <w:tcW w:type="dxa" w:w="2448"/>
            <w:shd w:val="clear" w:color="auto" w:fill="EAF1F6"/>
            <w:tcMar>
              <w:top w:w="60" w:type="dxa"/>
              <w:left w:w="110" w:type="dxa"/>
              <w:bottom w:w="60" w:type="dxa"/>
              <w:right w:w="110" w:type="dxa"/>
            </w:tcMar>
            <w:vAlign w:val="top"/>
          </w:tcPr>
          <w:p>
            <w:pPr>
              <w:spacing w:after="20"/>
            </w:pPr>
            <w:r>
              <w:rPr>
                <w:b/>
                <w:sz w:val="18"/>
              </w:rPr>
              <w:t>Hearings</w:t>
            </w:r>
          </w:p>
        </w:tc>
        <w:tc>
          <w:tcPr>
            <w:tcW w:type="dxa" w:w="6912"/>
            <w:shd w:val="clear" w:color="auto" w:fill="EAF1F6"/>
            <w:tcMar>
              <w:top w:w="60" w:type="dxa"/>
              <w:left w:w="110" w:type="dxa"/>
              <w:bottom w:w="60" w:type="dxa"/>
              <w:right w:w="110" w:type="dxa"/>
            </w:tcMar>
            <w:vAlign w:val="top"/>
          </w:tcPr>
          <w:p>
            <w:pPr>
              <w:spacing w:after="20"/>
            </w:pPr>
            <w:r>
              <w:rPr>
                <w:sz w:val="18"/>
              </w:rPr>
              <w:t>Calendar, join links, caucus rooms, availability management</w:t>
            </w:r>
          </w:p>
        </w:tc>
      </w:tr>
      <w:tr>
        <w:tc>
          <w:tcPr>
            <w:tcW w:type="dxa" w:w="2448"/>
            <w:tcMar>
              <w:top w:w="60" w:type="dxa"/>
              <w:left w:w="110" w:type="dxa"/>
              <w:bottom w:w="60" w:type="dxa"/>
              <w:right w:w="110" w:type="dxa"/>
            </w:tcMar>
            <w:vAlign w:val="top"/>
          </w:tcPr>
          <w:p>
            <w:pPr>
              <w:spacing w:after="20"/>
            </w:pPr>
            <w:r>
              <w:rPr>
                <w:b/>
                <w:sz w:val="18"/>
              </w:rPr>
              <w:t>Documents &amp; evidence</w:t>
            </w:r>
          </w:p>
        </w:tc>
        <w:tc>
          <w:tcPr>
            <w:tcW w:type="dxa" w:w="6912"/>
            <w:tcMar>
              <w:top w:w="60" w:type="dxa"/>
              <w:left w:w="110" w:type="dxa"/>
              <w:bottom w:w="60" w:type="dxa"/>
              <w:right w:w="110" w:type="dxa"/>
            </w:tcMar>
            <w:vAlign w:val="top"/>
          </w:tcPr>
          <w:p>
            <w:pPr>
              <w:spacing w:after="20"/>
            </w:pPr>
            <w:r>
              <w:rPr>
                <w:sz w:val="18"/>
              </w:rPr>
              <w:t>Case files, admitted evidence, drafting workspace, templates</w:t>
            </w:r>
          </w:p>
        </w:tc>
      </w:tr>
      <w:tr>
        <w:tc>
          <w:tcPr>
            <w:tcW w:type="dxa" w:w="2448"/>
            <w:shd w:val="clear" w:color="auto" w:fill="EAF1F6"/>
            <w:tcMar>
              <w:top w:w="60" w:type="dxa"/>
              <w:left w:w="110" w:type="dxa"/>
              <w:bottom w:w="60" w:type="dxa"/>
              <w:right w:w="110" w:type="dxa"/>
            </w:tcMar>
            <w:vAlign w:val="top"/>
          </w:tcPr>
          <w:p>
            <w:pPr>
              <w:spacing w:after="20"/>
            </w:pPr>
            <w:r>
              <w:rPr>
                <w:b/>
                <w:sz w:val="18"/>
              </w:rPr>
              <w:t>Orders &amp; outcomes</w:t>
            </w:r>
          </w:p>
        </w:tc>
        <w:tc>
          <w:tcPr>
            <w:tcW w:type="dxa" w:w="6912"/>
            <w:shd w:val="clear" w:color="auto" w:fill="EAF1F6"/>
            <w:tcMar>
              <w:top w:w="60" w:type="dxa"/>
              <w:left w:w="110" w:type="dxa"/>
              <w:bottom w:w="60" w:type="dxa"/>
              <w:right w:w="110" w:type="dxa"/>
            </w:tcMar>
            <w:vAlign w:val="top"/>
          </w:tcPr>
          <w:p>
            <w:pPr>
              <w:spacing w:after="20"/>
            </w:pPr>
            <w:r>
              <w:rPr>
                <w:sz w:val="18"/>
              </w:rPr>
              <w:t>Issue orders; draft MSA/award with AI assist; maker–checker; e-sign &amp; e-stamp</w:t>
            </w:r>
          </w:p>
        </w:tc>
      </w:tr>
      <w:tr>
        <w:tc>
          <w:tcPr>
            <w:tcW w:type="dxa" w:w="2448"/>
            <w:tcMar>
              <w:top w:w="60" w:type="dxa"/>
              <w:left w:w="110" w:type="dxa"/>
              <w:bottom w:w="60" w:type="dxa"/>
              <w:right w:w="110" w:type="dxa"/>
            </w:tcMar>
            <w:vAlign w:val="top"/>
          </w:tcPr>
          <w:p>
            <w:pPr>
              <w:spacing w:after="20"/>
            </w:pPr>
            <w:r>
              <w:rPr>
                <w:b/>
                <w:sz w:val="18"/>
              </w:rPr>
              <w:t>Fees</w:t>
            </w:r>
          </w:p>
        </w:tc>
        <w:tc>
          <w:tcPr>
            <w:tcW w:type="dxa" w:w="6912"/>
            <w:tcMar>
              <w:top w:w="60" w:type="dxa"/>
              <w:left w:w="110" w:type="dxa"/>
              <w:bottom w:w="60" w:type="dxa"/>
              <w:right w:w="110" w:type="dxa"/>
            </w:tcMar>
            <w:vAlign w:val="top"/>
          </w:tcPr>
          <w:p>
            <w:pPr>
              <w:spacing w:after="20"/>
            </w:pPr>
            <w:r>
              <w:rPr>
                <w:sz w:val="18"/>
              </w:rPr>
              <w:t>Fee notes, disposition status, payout history, tax documents</w:t>
            </w:r>
          </w:p>
        </w:tc>
      </w:tr>
      <w:tr>
        <w:tc>
          <w:tcPr>
            <w:tcW w:type="dxa" w:w="2448"/>
            <w:shd w:val="clear" w:color="auto" w:fill="EAF1F6"/>
            <w:tcMar>
              <w:top w:w="60" w:type="dxa"/>
              <w:left w:w="110" w:type="dxa"/>
              <w:bottom w:w="60" w:type="dxa"/>
              <w:right w:w="110" w:type="dxa"/>
            </w:tcMar>
            <w:vAlign w:val="top"/>
          </w:tcPr>
          <w:p>
            <w:pPr>
              <w:spacing w:after="20"/>
            </w:pPr>
            <w:r>
              <w:rPr>
                <w:b/>
                <w:sz w:val="18"/>
              </w:rPr>
              <w:t>Conflicts &amp; declarations</w:t>
            </w:r>
          </w:p>
        </w:tc>
        <w:tc>
          <w:tcPr>
            <w:tcW w:type="dxa" w:w="6912"/>
            <w:shd w:val="clear" w:color="auto" w:fill="EAF1F6"/>
            <w:tcMar>
              <w:top w:w="60" w:type="dxa"/>
              <w:left w:w="110" w:type="dxa"/>
              <w:bottom w:w="60" w:type="dxa"/>
              <w:right w:w="110" w:type="dxa"/>
            </w:tcMar>
            <w:vAlign w:val="top"/>
          </w:tcPr>
          <w:p>
            <w:pPr>
              <w:spacing w:after="20"/>
            </w:pPr>
            <w:r>
              <w:rPr>
                <w:sz w:val="18"/>
              </w:rPr>
              <w:t>Standing declarations; per-case conflict confirmations</w:t>
            </w:r>
          </w:p>
        </w:tc>
      </w:tr>
      <w:tr>
        <w:tc>
          <w:tcPr>
            <w:tcW w:type="dxa" w:w="2448"/>
            <w:tcMar>
              <w:top w:w="60" w:type="dxa"/>
              <w:left w:w="110" w:type="dxa"/>
              <w:bottom w:w="60" w:type="dxa"/>
              <w:right w:w="110" w:type="dxa"/>
            </w:tcMar>
            <w:vAlign w:val="top"/>
          </w:tcPr>
          <w:p>
            <w:pPr>
              <w:spacing w:after="20"/>
            </w:pPr>
            <w:r>
              <w:rPr>
                <w:b/>
                <w:sz w:val="18"/>
              </w:rPr>
              <w:t>Performance</w:t>
            </w:r>
          </w:p>
        </w:tc>
        <w:tc>
          <w:tcPr>
            <w:tcW w:type="dxa" w:w="6912"/>
            <w:tcMar>
              <w:top w:w="60" w:type="dxa"/>
              <w:left w:w="110" w:type="dxa"/>
              <w:bottom w:w="60" w:type="dxa"/>
              <w:right w:w="110" w:type="dxa"/>
            </w:tcMar>
            <w:vAlign w:val="top"/>
          </w:tcPr>
          <w:p>
            <w:pPr>
              <w:spacing w:after="20"/>
            </w:pPr>
            <w:r>
              <w:rPr>
                <w:sz w:val="18"/>
              </w:rPr>
              <w:t>Personal scorecard: timeliness, upheld outcomes, party feedback</w:t>
            </w:r>
          </w:p>
        </w:tc>
      </w:tr>
      <w:tr>
        <w:tc>
          <w:tcPr>
            <w:tcW w:type="dxa" w:w="2448"/>
            <w:shd w:val="clear" w:color="auto" w:fill="EAF1F6"/>
            <w:tcMar>
              <w:top w:w="60" w:type="dxa"/>
              <w:left w:w="110" w:type="dxa"/>
              <w:bottom w:w="60" w:type="dxa"/>
              <w:right w:w="110" w:type="dxa"/>
            </w:tcMar>
            <w:vAlign w:val="top"/>
          </w:tcPr>
          <w:p>
            <w:pPr>
              <w:spacing w:after="20"/>
            </w:pPr>
            <w:r>
              <w:rPr>
                <w:b/>
                <w:sz w:val="18"/>
              </w:rPr>
              <w:t>Availability &amp; leave</w:t>
            </w:r>
          </w:p>
        </w:tc>
        <w:tc>
          <w:tcPr>
            <w:tcW w:type="dxa" w:w="6912"/>
            <w:shd w:val="clear" w:color="auto" w:fill="EAF1F6"/>
            <w:tcMar>
              <w:top w:w="60" w:type="dxa"/>
              <w:left w:w="110" w:type="dxa"/>
              <w:bottom w:w="60" w:type="dxa"/>
              <w:right w:w="110" w:type="dxa"/>
            </w:tcMar>
            <w:vAlign w:val="top"/>
          </w:tcPr>
          <w:p>
            <w:pPr>
              <w:spacing w:after="20"/>
            </w:pPr>
            <w:r>
              <w:rPr>
                <w:sz w:val="18"/>
              </w:rPr>
              <w:t>Set capacity and out-of-office to control allocation</w:t>
            </w:r>
          </w:p>
        </w:tc>
      </w:tr>
    </w:tbl>
    <w:p>
      <w:pPr>
        <w:spacing w:after="40"/>
      </w:pPr>
    </w:p>
    <w:p>
      <w:pPr>
        <w:pStyle w:val="Heading1"/>
      </w:pPr>
      <w:r>
        <w:t>6. Fees &amp; Disposition (Neutral Payouts)</w:t>
      </w:r>
    </w:p>
    <w:p>
      <w:pPr>
        <w:spacing w:after="120"/>
      </w:pPr>
      <w:r>
        <w:rPr>
          <w:b w:val="0"/>
        </w:rPr>
        <w:t>Neutrals are paid through the platform; disposition is transparent and auditable. Full mechanics are in EQR-08.</w:t>
      </w:r>
    </w:p>
    <w:p>
      <w:pPr>
        <w:pStyle w:val="ListBullet"/>
      </w:pPr>
      <w:r>
        <w:rPr>
          <w:b/>
        </w:rPr>
        <w:t xml:space="preserve">Fee schedules: </w:t>
      </w:r>
      <w:r>
        <w:t>Per-stage and per-outcome fees by panel and value band; published rate cards (EQR-08).</w:t>
      </w:r>
    </w:p>
    <w:p>
      <w:pPr>
        <w:pStyle w:val="ListBullet"/>
      </w:pPr>
      <w:r>
        <w:rPr>
          <w:b/>
        </w:rPr>
        <w:t xml:space="preserve">Fee note: </w:t>
      </w:r>
      <w:r>
        <w:t>The neutral raises a fee note against the case; finance validates against the schedule.</w:t>
      </w:r>
    </w:p>
    <w:p>
      <w:pPr>
        <w:pStyle w:val="ListBullet"/>
      </w:pPr>
      <w:r>
        <w:rPr>
          <w:b/>
        </w:rPr>
        <w:t xml:space="preserve">Split settlement: </w:t>
      </w:r>
      <w:r>
        <w:t>Party payment is split at source (Razorpay Route): neutral fee to the neutral, platform fee to Equator.</w:t>
      </w:r>
    </w:p>
    <w:p>
      <w:pPr>
        <w:pStyle w:val="ListBullet"/>
      </w:pPr>
      <w:r>
        <w:rPr>
          <w:b/>
        </w:rPr>
        <w:t xml:space="preserve">Payout rails: </w:t>
      </w:r>
      <w:r>
        <w:t>Razorpay Payouts (India) or PayPal Payouts (international); TDS/GST handling and documents generated.</w:t>
      </w:r>
    </w:p>
    <w:p>
      <w:pPr>
        <w:pStyle w:val="ListBullet"/>
      </w:pPr>
      <w:r>
        <w:rPr>
          <w:b/>
        </w:rPr>
        <w:t xml:space="preserve">Escrow-linked: </w:t>
      </w:r>
      <w:r>
        <w:t>Where fees are held pending outcome, escrow releases on completion; disputes pause payout.</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Disposition of fee by neutrals.  </w:t>
            </w:r>
            <w:r>
              <w:rPr>
                <w:color w:val="1A1A1A"/>
                <w:sz w:val="19"/>
              </w:rPr>
              <w:t>Beyond receiving fees, senior neutrals and institution admins can dispose of fees at the institutional level — set panel rate cards, approve concessions/pro-bono, and configure success-fee sharing — all versioned and auditable.</w:t>
            </w:r>
          </w:p>
        </w:tc>
      </w:tr>
    </w:tbl>
    <w:p>
      <w:pPr>
        <w:spacing w:after="40"/>
      </w:pPr>
    </w:p>
    <w:p>
      <w:pPr>
        <w:pStyle w:val="Heading1"/>
      </w:pPr>
      <w:r>
        <w:t>7. Performance &amp; Scorecards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8"/>
              </w:rPr>
              <w:t>Metric</w:t>
            </w:r>
          </w:p>
        </w:tc>
        <w:tc>
          <w:tcPr>
            <w:tcW w:type="dxa" w:w="6912"/>
            <w:shd w:val="clear" w:color="auto" w:fill="0B2E4F"/>
            <w:tcMar>
              <w:top w:w="60" w:type="dxa"/>
              <w:left w:w="110" w:type="dxa"/>
              <w:bottom w:w="60" w:type="dxa"/>
              <w:right w:w="110" w:type="dxa"/>
            </w:tcMar>
            <w:vAlign w:val="center"/>
          </w:tcPr>
          <w:p>
            <w:pPr>
              <w:spacing w:after="20"/>
            </w:pPr>
            <w:r>
              <w:rPr>
                <w:b/>
                <w:color w:val="FFFFFF"/>
                <w:sz w:val="18"/>
              </w:rPr>
              <w:t>Definition</w:t>
            </w:r>
          </w:p>
        </w:tc>
      </w:tr>
      <w:tr>
        <w:tc>
          <w:tcPr>
            <w:tcW w:type="dxa" w:w="2448"/>
            <w:tcMar>
              <w:top w:w="60" w:type="dxa"/>
              <w:left w:w="110" w:type="dxa"/>
              <w:bottom w:w="60" w:type="dxa"/>
              <w:right w:w="110" w:type="dxa"/>
            </w:tcMar>
            <w:vAlign w:val="top"/>
          </w:tcPr>
          <w:p>
            <w:pPr>
              <w:spacing w:after="20"/>
            </w:pPr>
            <w:r>
              <w:rPr>
                <w:b/>
                <w:sz w:val="18"/>
              </w:rPr>
              <w:t>Timeliness</w:t>
            </w:r>
          </w:p>
        </w:tc>
        <w:tc>
          <w:tcPr>
            <w:tcW w:type="dxa" w:w="6912"/>
            <w:tcMar>
              <w:top w:w="60" w:type="dxa"/>
              <w:left w:w="110" w:type="dxa"/>
              <w:bottom w:w="60" w:type="dxa"/>
              <w:right w:w="110" w:type="dxa"/>
            </w:tcMar>
            <w:vAlign w:val="top"/>
          </w:tcPr>
          <w:p>
            <w:pPr>
              <w:spacing w:after="20"/>
            </w:pPr>
            <w:r>
              <w:rPr>
                <w:sz w:val="18"/>
              </w:rPr>
              <w:t>Adherence to statutory/configured clocks (e.g., s.29A, 120-day mediation)</w:t>
            </w:r>
          </w:p>
        </w:tc>
      </w:tr>
      <w:tr>
        <w:tc>
          <w:tcPr>
            <w:tcW w:type="dxa" w:w="2448"/>
            <w:shd w:val="clear" w:color="auto" w:fill="EAF1F6"/>
            <w:tcMar>
              <w:top w:w="60" w:type="dxa"/>
              <w:left w:w="110" w:type="dxa"/>
              <w:bottom w:w="60" w:type="dxa"/>
              <w:right w:w="110" w:type="dxa"/>
            </w:tcMar>
            <w:vAlign w:val="top"/>
          </w:tcPr>
          <w:p>
            <w:pPr>
              <w:spacing w:after="20"/>
            </w:pPr>
            <w:r>
              <w:rPr>
                <w:b/>
                <w:sz w:val="18"/>
              </w:rPr>
              <w:t>Settlement/upheld rate</w:t>
            </w:r>
          </w:p>
        </w:tc>
        <w:tc>
          <w:tcPr>
            <w:tcW w:type="dxa" w:w="6912"/>
            <w:shd w:val="clear" w:color="auto" w:fill="EAF1F6"/>
            <w:tcMar>
              <w:top w:w="60" w:type="dxa"/>
              <w:left w:w="110" w:type="dxa"/>
              <w:bottom w:w="60" w:type="dxa"/>
              <w:right w:w="110" w:type="dxa"/>
            </w:tcMar>
            <w:vAlign w:val="top"/>
          </w:tcPr>
          <w:p>
            <w:pPr>
              <w:spacing w:after="20"/>
            </w:pPr>
            <w:r>
              <w:rPr>
                <w:sz w:val="18"/>
              </w:rPr>
              <w:t>Mediation settlement rate; awards not set aside on challenge</w:t>
            </w:r>
          </w:p>
        </w:tc>
      </w:tr>
      <w:tr>
        <w:tc>
          <w:tcPr>
            <w:tcW w:type="dxa" w:w="2448"/>
            <w:tcMar>
              <w:top w:w="60" w:type="dxa"/>
              <w:left w:w="110" w:type="dxa"/>
              <w:bottom w:w="60" w:type="dxa"/>
              <w:right w:w="110" w:type="dxa"/>
            </w:tcMar>
            <w:vAlign w:val="top"/>
          </w:tcPr>
          <w:p>
            <w:pPr>
              <w:spacing w:after="20"/>
            </w:pPr>
            <w:r>
              <w:rPr>
                <w:b/>
                <w:sz w:val="18"/>
              </w:rPr>
              <w:t>Party feedback</w:t>
            </w:r>
          </w:p>
        </w:tc>
        <w:tc>
          <w:tcPr>
            <w:tcW w:type="dxa" w:w="6912"/>
            <w:tcMar>
              <w:top w:w="60" w:type="dxa"/>
              <w:left w:w="110" w:type="dxa"/>
              <w:bottom w:w="60" w:type="dxa"/>
              <w:right w:w="110" w:type="dxa"/>
            </w:tcMar>
            <w:vAlign w:val="top"/>
          </w:tcPr>
          <w:p>
            <w:pPr>
              <w:spacing w:after="20"/>
            </w:pPr>
            <w:r>
              <w:rPr>
                <w:sz w:val="18"/>
              </w:rPr>
              <w:t>Post-matter fairness and professionalism ratings</w:t>
            </w:r>
          </w:p>
        </w:tc>
      </w:tr>
      <w:tr>
        <w:tc>
          <w:tcPr>
            <w:tcW w:type="dxa" w:w="2448"/>
            <w:shd w:val="clear" w:color="auto" w:fill="EAF1F6"/>
            <w:tcMar>
              <w:top w:w="60" w:type="dxa"/>
              <w:left w:w="110" w:type="dxa"/>
              <w:bottom w:w="60" w:type="dxa"/>
              <w:right w:w="110" w:type="dxa"/>
            </w:tcMar>
            <w:vAlign w:val="top"/>
          </w:tcPr>
          <w:p>
            <w:pPr>
              <w:spacing w:after="20"/>
            </w:pPr>
            <w:r>
              <w:rPr>
                <w:b/>
                <w:sz w:val="18"/>
              </w:rPr>
              <w:t>Conflict hygiene</w:t>
            </w:r>
          </w:p>
        </w:tc>
        <w:tc>
          <w:tcPr>
            <w:tcW w:type="dxa" w:w="6912"/>
            <w:shd w:val="clear" w:color="auto" w:fill="EAF1F6"/>
            <w:tcMar>
              <w:top w:w="60" w:type="dxa"/>
              <w:left w:w="110" w:type="dxa"/>
              <w:bottom w:w="60" w:type="dxa"/>
              <w:right w:w="110" w:type="dxa"/>
            </w:tcMar>
            <w:vAlign w:val="top"/>
          </w:tcPr>
          <w:p>
            <w:pPr>
              <w:spacing w:after="20"/>
            </w:pPr>
            <w:r>
              <w:rPr>
                <w:sz w:val="18"/>
              </w:rPr>
              <w:t>Timely, complete conflict declarations</w:t>
            </w:r>
          </w:p>
        </w:tc>
      </w:tr>
      <w:tr>
        <w:tc>
          <w:tcPr>
            <w:tcW w:type="dxa" w:w="2448"/>
            <w:tcMar>
              <w:top w:w="60" w:type="dxa"/>
              <w:left w:w="110" w:type="dxa"/>
              <w:bottom w:w="60" w:type="dxa"/>
              <w:right w:w="110" w:type="dxa"/>
            </w:tcMar>
            <w:vAlign w:val="top"/>
          </w:tcPr>
          <w:p>
            <w:pPr>
              <w:spacing w:after="20"/>
            </w:pPr>
            <w:r>
              <w:rPr>
                <w:b/>
                <w:sz w:val="18"/>
              </w:rPr>
              <w:t>Availability</w:t>
            </w:r>
          </w:p>
        </w:tc>
        <w:tc>
          <w:tcPr>
            <w:tcW w:type="dxa" w:w="6912"/>
            <w:tcMar>
              <w:top w:w="60" w:type="dxa"/>
              <w:left w:w="110" w:type="dxa"/>
              <w:bottom w:w="60" w:type="dxa"/>
              <w:right w:w="110" w:type="dxa"/>
            </w:tcMar>
            <w:vAlign w:val="top"/>
          </w:tcPr>
          <w:p>
            <w:pPr>
              <w:spacing w:after="20"/>
            </w:pPr>
            <w:r>
              <w:rPr>
                <w:sz w:val="18"/>
              </w:rPr>
              <w:t>Acceptance rate and responsiveness</w:t>
            </w:r>
          </w:p>
        </w:tc>
      </w:tr>
    </w:tbl>
    <w:p>
      <w:pPr>
        <w:spacing w:after="40"/>
      </w:pPr>
    </w:p>
    <w:p>
      <w:pPr>
        <w:spacing w:after="120"/>
      </w:pPr>
      <w:r>
        <w:rPr>
          <w:b w:val="0"/>
        </w:rPr>
        <w:t>Scorecards feed allocation weighting, grade reviews and (where relevant) accreditation renewal. Fairness/quality telemetry is aggregated for the oversight committee and, in anonymised form, for public transparency reporting.</w:t>
      </w:r>
    </w:p>
    <w:p>
      <w:pPr>
        <w:pStyle w:val="Heading1"/>
      </w:pPr>
      <w:r>
        <w:t>8. Retiring / Exit</w:t>
      </w:r>
    </w:p>
    <w:p>
      <w:pPr>
        <w:pStyle w:val="ListNumber"/>
      </w:pPr>
      <w:r>
        <w:t>Voluntary retirement or non-renewal: the neutral requests deactivation; new allocations stop immediately.</w:t>
      </w:r>
    </w:p>
    <w:p>
      <w:pPr>
        <w:pStyle w:val="ListNumber"/>
      </w:pPr>
      <w:r>
        <w:t>Active-case handover: open matters are reassigned with full case-history transfer; parties are notified.</w:t>
      </w:r>
    </w:p>
    <w:p>
      <w:pPr>
        <w:pStyle w:val="ListNumber"/>
      </w:pPr>
      <w:r>
        <w:t>Financial closeout: outstanding fee notes settled; tax documents issued.</w:t>
      </w:r>
    </w:p>
    <w:p>
      <w:pPr>
        <w:pStyle w:val="ListNumber"/>
      </w:pPr>
      <w:r>
        <w:t>Record retention: the empanelment record, scorecards and case participation are retained per policy for audit and re-empanelment.</w:t>
      </w:r>
    </w:p>
    <w:p>
      <w:pPr>
        <w:pStyle w:val="ListNumber"/>
      </w:pPr>
      <w:r>
        <w:t>Re-empanelment: a retired neutral may re-apply; history informs grading.</w:t>
      </w:r>
    </w:p>
    <w:p>
      <w:pPr>
        <w:pStyle w:val="Heading1"/>
      </w:pPr>
      <w:r>
        <w:t>9. Complaints &amp; Discipline</w:t>
      </w:r>
    </w:p>
    <w:p>
      <w:pPr>
        <w:spacing w:after="120"/>
      </w:pPr>
      <w:r>
        <w:rPr>
          <w:b w:val="0"/>
        </w:rPr>
        <w:t>A credible panel needs a credible way to complain about a neutral. The mechanism is independent of the neutral's own cases and time-bound.</w:t>
      </w:r>
    </w:p>
    <w:p>
      <w:pPr>
        <w:pStyle w:val="Heading2"/>
      </w:pPr>
      <w:r>
        <w:t>9.1 Complaint intake &amp; flow</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8"/>
              </w:rPr>
              <w:t>Step</w:t>
            </w:r>
          </w:p>
        </w:tc>
        <w:tc>
          <w:tcPr>
            <w:tcW w:type="dxa" w:w="7344"/>
            <w:shd w:val="clear" w:color="auto" w:fill="0B2E4F"/>
            <w:tcMar>
              <w:top w:w="60" w:type="dxa"/>
              <w:left w:w="110" w:type="dxa"/>
              <w:bottom w:w="60" w:type="dxa"/>
              <w:right w:w="110" w:type="dxa"/>
            </w:tcMar>
            <w:vAlign w:val="center"/>
          </w:tcPr>
          <w:p>
            <w:pPr>
              <w:spacing w:after="20"/>
            </w:pPr>
            <w:r>
              <w:rPr>
                <w:b/>
                <w:color w:val="FFFFFF"/>
                <w:sz w:val="18"/>
              </w:rPr>
              <w:t>Detail</w:t>
            </w:r>
          </w:p>
        </w:tc>
      </w:tr>
      <w:tr>
        <w:tc>
          <w:tcPr>
            <w:tcW w:type="dxa" w:w="2016"/>
            <w:tcMar>
              <w:top w:w="60" w:type="dxa"/>
              <w:left w:w="110" w:type="dxa"/>
              <w:bottom w:w="60" w:type="dxa"/>
              <w:right w:w="110" w:type="dxa"/>
            </w:tcMar>
            <w:vAlign w:val="top"/>
          </w:tcPr>
          <w:p>
            <w:pPr>
              <w:spacing w:after="20"/>
            </w:pPr>
            <w:r>
              <w:rPr>
                <w:b/>
                <w:sz w:val="18"/>
              </w:rPr>
              <w:t>Raise</w:t>
            </w:r>
          </w:p>
        </w:tc>
        <w:tc>
          <w:tcPr>
            <w:tcW w:type="dxa" w:w="7344"/>
            <w:tcMar>
              <w:top w:w="60" w:type="dxa"/>
              <w:left w:w="110" w:type="dxa"/>
              <w:bottom w:w="60" w:type="dxa"/>
              <w:right w:w="110" w:type="dxa"/>
            </w:tcMar>
            <w:vAlign w:val="top"/>
          </w:tcPr>
          <w:p>
            <w:pPr>
              <w:spacing w:after="20"/>
            </w:pPr>
            <w:r>
              <w:rPr>
                <w:sz w:val="18"/>
              </w:rPr>
              <w:t>Any party, counsel or admin files a complaint against a neutral (misconduct, bias, delay, conflict, fees)</w:t>
            </w:r>
          </w:p>
        </w:tc>
      </w:tr>
      <w:tr>
        <w:tc>
          <w:tcPr>
            <w:tcW w:type="dxa" w:w="2016"/>
            <w:shd w:val="clear" w:color="auto" w:fill="EAF1F6"/>
            <w:tcMar>
              <w:top w:w="60" w:type="dxa"/>
              <w:left w:w="110" w:type="dxa"/>
              <w:bottom w:w="60" w:type="dxa"/>
              <w:right w:w="110" w:type="dxa"/>
            </w:tcMar>
            <w:vAlign w:val="top"/>
          </w:tcPr>
          <w:p>
            <w:pPr>
              <w:spacing w:after="20"/>
            </w:pPr>
            <w:r>
              <w:rPr>
                <w:b/>
                <w:sz w:val="18"/>
              </w:rPr>
              <w:t>Triage</w:t>
            </w:r>
          </w:p>
        </w:tc>
        <w:tc>
          <w:tcPr>
            <w:tcW w:type="dxa" w:w="7344"/>
            <w:shd w:val="clear" w:color="auto" w:fill="EAF1F6"/>
            <w:tcMar>
              <w:top w:w="60" w:type="dxa"/>
              <w:left w:w="110" w:type="dxa"/>
              <w:bottom w:w="60" w:type="dxa"/>
              <w:right w:w="110" w:type="dxa"/>
            </w:tcMar>
            <w:vAlign w:val="top"/>
          </w:tcPr>
          <w:p>
            <w:pPr>
              <w:spacing w:after="20"/>
            </w:pPr>
            <w:r>
              <w:rPr>
                <w:sz w:val="18"/>
              </w:rPr>
              <w:t>Ethics/oversight function classifies severity; conflicts the neutral out of any review of their own matter</w:t>
            </w:r>
          </w:p>
        </w:tc>
      </w:tr>
      <w:tr>
        <w:tc>
          <w:tcPr>
            <w:tcW w:type="dxa" w:w="2016"/>
            <w:tcMar>
              <w:top w:w="60" w:type="dxa"/>
              <w:left w:w="110" w:type="dxa"/>
              <w:bottom w:w="60" w:type="dxa"/>
              <w:right w:w="110" w:type="dxa"/>
            </w:tcMar>
            <w:vAlign w:val="top"/>
          </w:tcPr>
          <w:p>
            <w:pPr>
              <w:spacing w:after="20"/>
            </w:pPr>
            <w:r>
              <w:rPr>
                <w:b/>
                <w:sz w:val="18"/>
              </w:rPr>
              <w:t>Interim measures</w:t>
            </w:r>
          </w:p>
        </w:tc>
        <w:tc>
          <w:tcPr>
            <w:tcW w:type="dxa" w:w="7344"/>
            <w:tcMar>
              <w:top w:w="60" w:type="dxa"/>
              <w:left w:w="110" w:type="dxa"/>
              <w:bottom w:w="60" w:type="dxa"/>
              <w:right w:w="110" w:type="dxa"/>
            </w:tcMar>
            <w:vAlign w:val="top"/>
          </w:tcPr>
          <w:p>
            <w:pPr>
              <w:spacing w:after="20"/>
            </w:pPr>
            <w:r>
              <w:rPr>
                <w:sz w:val="18"/>
              </w:rPr>
              <w:t>Where warranted, pause allocations or reassign the affected case</w:t>
            </w:r>
          </w:p>
        </w:tc>
      </w:tr>
      <w:tr>
        <w:tc>
          <w:tcPr>
            <w:tcW w:type="dxa" w:w="2016"/>
            <w:shd w:val="clear" w:color="auto" w:fill="EAF1F6"/>
            <w:tcMar>
              <w:top w:w="60" w:type="dxa"/>
              <w:left w:w="110" w:type="dxa"/>
              <w:bottom w:w="60" w:type="dxa"/>
              <w:right w:w="110" w:type="dxa"/>
            </w:tcMar>
            <w:vAlign w:val="top"/>
          </w:tcPr>
          <w:p>
            <w:pPr>
              <w:spacing w:after="20"/>
            </w:pPr>
            <w:r>
              <w:rPr>
                <w:b/>
                <w:sz w:val="18"/>
              </w:rPr>
              <w:t>Inquiry</w:t>
            </w:r>
          </w:p>
        </w:tc>
        <w:tc>
          <w:tcPr>
            <w:tcW w:type="dxa" w:w="7344"/>
            <w:shd w:val="clear" w:color="auto" w:fill="EAF1F6"/>
            <w:tcMar>
              <w:top w:w="60" w:type="dxa"/>
              <w:left w:w="110" w:type="dxa"/>
              <w:bottom w:w="60" w:type="dxa"/>
              <w:right w:w="110" w:type="dxa"/>
            </w:tcMar>
            <w:vAlign w:val="top"/>
          </w:tcPr>
          <w:p>
            <w:pPr>
              <w:spacing w:after="20"/>
            </w:pPr>
            <w:r>
              <w:rPr>
                <w:sz w:val="18"/>
              </w:rPr>
              <w:t>Time-bound review against the Code of Conduct; neutral's right to be heard</w:t>
            </w:r>
          </w:p>
        </w:tc>
      </w:tr>
      <w:tr>
        <w:tc>
          <w:tcPr>
            <w:tcW w:type="dxa" w:w="2016"/>
            <w:tcMar>
              <w:top w:w="60" w:type="dxa"/>
              <w:left w:w="110" w:type="dxa"/>
              <w:bottom w:w="60" w:type="dxa"/>
              <w:right w:w="110" w:type="dxa"/>
            </w:tcMar>
            <w:vAlign w:val="top"/>
          </w:tcPr>
          <w:p>
            <w:pPr>
              <w:spacing w:after="20"/>
            </w:pPr>
            <w:r>
              <w:rPr>
                <w:b/>
                <w:sz w:val="18"/>
              </w:rPr>
              <w:t>Outcome</w:t>
            </w:r>
          </w:p>
        </w:tc>
        <w:tc>
          <w:tcPr>
            <w:tcW w:type="dxa" w:w="7344"/>
            <w:tcMar>
              <w:top w:w="60" w:type="dxa"/>
              <w:left w:w="110" w:type="dxa"/>
              <w:bottom w:w="60" w:type="dxa"/>
              <w:right w:w="110" w:type="dxa"/>
            </w:tcMar>
            <w:vAlign w:val="top"/>
          </w:tcPr>
          <w:p>
            <w:pPr>
              <w:spacing w:after="20"/>
            </w:pPr>
            <w:r>
              <w:rPr>
                <w:sz w:val="18"/>
              </w:rPr>
              <w:t>Dismiss / counsel / warning / suspension / de-empanelment; logged and communicated</w:t>
            </w:r>
          </w:p>
        </w:tc>
      </w:tr>
      <w:tr>
        <w:tc>
          <w:tcPr>
            <w:tcW w:type="dxa" w:w="2016"/>
            <w:shd w:val="clear" w:color="auto" w:fill="EAF1F6"/>
            <w:tcMar>
              <w:top w:w="60" w:type="dxa"/>
              <w:left w:w="110" w:type="dxa"/>
              <w:bottom w:w="60" w:type="dxa"/>
              <w:right w:w="110" w:type="dxa"/>
            </w:tcMar>
            <w:vAlign w:val="top"/>
          </w:tcPr>
          <w:p>
            <w:pPr>
              <w:spacing w:after="20"/>
            </w:pPr>
            <w:r>
              <w:rPr>
                <w:b/>
                <w:sz w:val="18"/>
              </w:rPr>
              <w:t>Appeal</w:t>
            </w:r>
          </w:p>
        </w:tc>
        <w:tc>
          <w:tcPr>
            <w:tcW w:type="dxa" w:w="7344"/>
            <w:shd w:val="clear" w:color="auto" w:fill="EAF1F6"/>
            <w:tcMar>
              <w:top w:w="60" w:type="dxa"/>
              <w:left w:w="110" w:type="dxa"/>
              <w:bottom w:w="60" w:type="dxa"/>
              <w:right w:w="110" w:type="dxa"/>
            </w:tcMar>
            <w:vAlign w:val="top"/>
          </w:tcPr>
          <w:p>
            <w:pPr>
              <w:spacing w:after="20"/>
            </w:pPr>
            <w:r>
              <w:rPr>
                <w:sz w:val="18"/>
              </w:rPr>
              <w:t>Defined internal appeal path; external remedies preserved</w:t>
            </w:r>
          </w:p>
        </w:tc>
      </w:tr>
    </w:tbl>
    <w:p>
      <w:pPr>
        <w:spacing w:after="40"/>
      </w:pPr>
    </w:p>
    <w:p>
      <w:pPr>
        <w:pStyle w:val="Heading2"/>
      </w:pPr>
      <w:r>
        <w:t>9.2 Code of Conduct (anchors)</w:t>
      </w:r>
    </w:p>
    <w:p>
      <w:pPr>
        <w:pStyle w:val="ListBullet"/>
      </w:pPr>
      <w:r>
        <w:t>Independence &amp; impartiality; full and continuing conflict disclosure.</w:t>
      </w:r>
    </w:p>
    <w:p>
      <w:pPr>
        <w:pStyle w:val="ListBullet"/>
      </w:pPr>
      <w:r>
        <w:t>Confidentiality, especially POSH/marital tiers; on-platform communication.</w:t>
      </w:r>
    </w:p>
    <w:p>
      <w:pPr>
        <w:pStyle w:val="ListBullet"/>
      </w:pPr>
      <w:r>
        <w:t>Diligence and adherence to clocks; reasoned outcomes.</w:t>
      </w:r>
    </w:p>
    <w:p>
      <w:pPr>
        <w:pStyle w:val="ListBullet"/>
      </w:pPr>
      <w:r>
        <w:t>Fair fees per published schedules; no side-channel dealings.</w:t>
      </w:r>
    </w:p>
    <w:p>
      <w:pPr>
        <w:pStyle w:val="ListBullet"/>
      </w:pPr>
      <w:r>
        <w:t>Competence and continuing professional development (CPD).</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Governance link.  </w:t>
            </w:r>
            <w:r>
              <w:rPr>
                <w:color w:val="1A1A1A"/>
                <w:sz w:val="19"/>
              </w:rPr>
              <w:t>Complaint outcomes and scorecards feed the panel-governance and model-risk cadence in EQR-00 §7, and de-empanelment updates allocation eligibility immediately.</w:t>
            </w:r>
          </w:p>
        </w:tc>
      </w:tr>
    </w:tbl>
    <w:p>
      <w:pPr>
        <w:spacing w:after="40"/>
      </w:pPr>
    </w:p>
    <w:p>
      <w:pPr>
        <w:pStyle w:val="Heading1"/>
      </w:pPr>
      <w:r>
        <w:t>10. Private ADR Court (Self-Managed Neutrals &amp; Institutions)</w:t>
      </w:r>
    </w:p>
    <w:p>
      <w:pPr>
        <w:spacing w:after="120"/>
      </w:pPr>
      <w:r>
        <w:rPr>
          <w:b w:val="0"/>
        </w:rPr>
        <w:t>Private ADR Court turns the platform into infrastructure: any neutral or institution can run their own branded caseload on Equator's rails (compliance, audit, payments, video, e-sign) while remaining isolated from EDRS and other tenants.</w:t>
      </w:r>
    </w:p>
    <w:p>
      <w:pPr>
        <w:pStyle w:val="ListBullet"/>
      </w:pPr>
      <w:r>
        <w:rPr>
          <w:b/>
        </w:rPr>
        <w:t xml:space="preserve">Self-service setup: </w:t>
      </w:r>
      <w:r>
        <w:t>Branding, panels, fee schedules, allocation rules, templates and notices.</w:t>
      </w:r>
    </w:p>
    <w:p>
      <w:pPr>
        <w:pStyle w:val="ListBullet"/>
      </w:pPr>
      <w:r>
        <w:rPr>
          <w:b/>
        </w:rPr>
        <w:t xml:space="preserve">Independent case management: </w:t>
      </w:r>
      <w:r>
        <w:t>File, allocate, schedule, hear, draft and sign — fully tenant-isolated.</w:t>
      </w:r>
    </w:p>
    <w:p>
      <w:pPr>
        <w:pStyle w:val="ListBullet"/>
      </w:pPr>
      <w:r>
        <w:rPr>
          <w:b/>
        </w:rPr>
        <w:t xml:space="preserve">Optional referral marketplace: </w:t>
      </w:r>
      <w:r>
        <w:t>Receive overflow/referred matters from Equator if opted in.</w:t>
      </w:r>
    </w:p>
    <w:p>
      <w:pPr>
        <w:pStyle w:val="ListBullet"/>
      </w:pPr>
      <w:r>
        <w:rPr>
          <w:b/>
        </w:rPr>
        <w:t xml:space="preserve">Commercials: </w:t>
      </w:r>
      <w:r>
        <w:t>Subscription + per-case fee + add-ons (e-stamp, video minutes, premium AI) — see EQR-08.</w:t>
      </w:r>
    </w:p>
    <w:p>
      <w:pPr>
        <w:pStyle w:val="Heading1"/>
      </w:pPr>
      <w:r>
        <w:t>11. Data Model (pointer)</w:t>
      </w:r>
    </w:p>
    <w:p>
      <w:pPr>
        <w:spacing w:after="120"/>
      </w:pPr>
      <w:r>
        <w:rPr>
          <w:b w:val="0"/>
        </w:rPr>
        <w:t>Neutral entities — neutrals, empanelments, allocations, conflict_graph, conflict_edges, conflict_checks, scorecards, payouts, complaints, discipline_actions — are specified field-level in EQR-12 (tabs F3, F13 and the neutral-governance tables).</w:t>
      </w:r>
    </w:p>
    <w:p>
      <w:pPr>
        <w:spacing w:after="120"/>
      </w:pPr>
      <w:r>
        <w:rPr>
          <w:b w:val="0"/>
          <w:color w:val="5A6B7B"/>
          <w:sz w:val="18"/>
        </w:rPr>
        <w:t>End of EQR-05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