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B2E4F"/>
        <w:spacing w:after="40"/>
      </w:pPr>
      <w:r>
        <w:rPr>
          <w:sz w:val="8"/>
        </w:rPr>
        <w:t xml:space="preserve"> </w:t>
      </w:r>
    </w:p>
    <w:p>
      <w:pPr>
        <w:spacing w:before="200" w:after="40"/>
      </w:pPr>
      <w:r>
        <w:rPr>
          <w:b/>
          <w:color w:val="1F7A8C"/>
          <w:sz w:val="20"/>
        </w:rPr>
        <w:t>FAMILY B · ARCHITECTURE &amp; BUILD</w:t>
      </w:r>
    </w:p>
    <w:p>
      <w:pPr>
        <w:pStyle w:val="Title"/>
        <w:pBdr>
          <w:bottom w:val="single" w:sz="20" w:space="6" w:color="B98A2E"/>
        </w:pBdr>
      </w:pPr>
      <w:r>
        <w:t>Enterprise Integration, API &amp; Grievance Escalation</w:t>
      </w:r>
    </w:p>
    <w:p>
      <w:pPr>
        <w:spacing w:after="280"/>
      </w:pPr>
      <w:r>
        <w:rPr>
          <w:i/>
          <w:color w:val="5A6B7B"/>
          <w:sz w:val="25"/>
        </w:rPr>
        <w:t>How companies plug Equator into their own systems: the complaint-to-escalation model, integration with the grievance-redressal mechanisms of NBFCs, urban co-operative banks and listed companies, and the platform's offered and consumed APIs.</w:t>
      </w:r>
    </w:p>
    <w:p>
      <w:pPr>
        <w:pStyle w:val="Heading2"/>
      </w:pPr>
      <w:r>
        <w:t>Document Control</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880"/>
            <w:shd w:val="clear" w:color="auto" w:fill="0B2E4F"/>
            <w:tcMar>
              <w:top w:w="60" w:type="dxa"/>
              <w:left w:w="110" w:type="dxa"/>
              <w:bottom w:w="60" w:type="dxa"/>
              <w:right w:w="110" w:type="dxa"/>
            </w:tcMar>
            <w:vAlign w:val="center"/>
          </w:tcPr>
          <w:p>
            <w:pPr>
              <w:spacing w:after="20"/>
            </w:pPr>
            <w:r>
              <w:rPr>
                <w:b/>
                <w:color w:val="FFFFFF"/>
                <w:sz w:val="19"/>
              </w:rPr>
              <w:t>Field</w:t>
            </w:r>
          </w:p>
        </w:tc>
        <w:tc>
          <w:tcPr>
            <w:tcW w:type="dxa" w:w="6480"/>
            <w:shd w:val="clear" w:color="auto" w:fill="0B2E4F"/>
            <w:tcMar>
              <w:top w:w="60" w:type="dxa"/>
              <w:left w:w="110" w:type="dxa"/>
              <w:bottom w:w="60" w:type="dxa"/>
              <w:right w:w="110" w:type="dxa"/>
            </w:tcMar>
            <w:vAlign w:val="center"/>
          </w:tcPr>
          <w:p>
            <w:pPr>
              <w:spacing w:after="20"/>
            </w:pPr>
            <w:r>
              <w:rPr>
                <w:b/>
                <w:color w:val="FFFFFF"/>
                <w:sz w:val="19"/>
              </w:rPr>
              <w:t>Detail</w:t>
            </w:r>
          </w:p>
        </w:tc>
      </w:tr>
      <w:tr>
        <w:tc>
          <w:tcPr>
            <w:tcW w:type="dxa" w:w="2880"/>
            <w:tcMar>
              <w:top w:w="60" w:type="dxa"/>
              <w:left w:w="110" w:type="dxa"/>
              <w:bottom w:w="60" w:type="dxa"/>
              <w:right w:w="110" w:type="dxa"/>
            </w:tcMar>
            <w:vAlign w:val="top"/>
          </w:tcPr>
          <w:p>
            <w:pPr>
              <w:spacing w:after="20"/>
            </w:pPr>
            <w:r>
              <w:rPr>
                <w:b/>
                <w:sz w:val="19"/>
              </w:rPr>
              <w:t>Document code</w:t>
            </w:r>
          </w:p>
        </w:tc>
        <w:tc>
          <w:tcPr>
            <w:tcW w:type="dxa" w:w="6480"/>
            <w:tcMar>
              <w:top w:w="60" w:type="dxa"/>
              <w:left w:w="110" w:type="dxa"/>
              <w:bottom w:w="60" w:type="dxa"/>
              <w:right w:w="110" w:type="dxa"/>
            </w:tcMar>
            <w:vAlign w:val="top"/>
          </w:tcPr>
          <w:p>
            <w:pPr>
              <w:spacing w:after="20"/>
            </w:pPr>
            <w:r>
              <w:rPr>
                <w:sz w:val="19"/>
              </w:rPr>
              <w:t>EQR-06</w:t>
            </w:r>
          </w:p>
        </w:tc>
      </w:tr>
      <w:tr>
        <w:tc>
          <w:tcPr>
            <w:tcW w:type="dxa" w:w="2880"/>
            <w:shd w:val="clear" w:color="auto" w:fill="EAF1F6"/>
            <w:tcMar>
              <w:top w:w="60" w:type="dxa"/>
              <w:left w:w="110" w:type="dxa"/>
              <w:bottom w:w="60" w:type="dxa"/>
              <w:right w:w="110" w:type="dxa"/>
            </w:tcMar>
            <w:vAlign w:val="top"/>
          </w:tcPr>
          <w:p>
            <w:pPr>
              <w:spacing w:after="20"/>
            </w:pPr>
            <w:r>
              <w:rPr>
                <w:b/>
                <w:sz w:val="19"/>
              </w:rPr>
              <w:t>Document title</w:t>
            </w:r>
          </w:p>
        </w:tc>
        <w:tc>
          <w:tcPr>
            <w:tcW w:type="dxa" w:w="6480"/>
            <w:shd w:val="clear" w:color="auto" w:fill="EAF1F6"/>
            <w:tcMar>
              <w:top w:w="60" w:type="dxa"/>
              <w:left w:w="110" w:type="dxa"/>
              <w:bottom w:w="60" w:type="dxa"/>
              <w:right w:w="110" w:type="dxa"/>
            </w:tcMar>
            <w:vAlign w:val="top"/>
          </w:tcPr>
          <w:p>
            <w:pPr>
              <w:spacing w:after="20"/>
            </w:pPr>
            <w:r>
              <w:rPr>
                <w:sz w:val="19"/>
              </w:rPr>
              <w:t>Enterprise Integration, API &amp; Grievance Escalation</w:t>
            </w:r>
          </w:p>
        </w:tc>
      </w:tr>
      <w:tr>
        <w:tc>
          <w:tcPr>
            <w:tcW w:type="dxa" w:w="2880"/>
            <w:tcMar>
              <w:top w:w="60" w:type="dxa"/>
              <w:left w:w="110" w:type="dxa"/>
              <w:bottom w:w="60" w:type="dxa"/>
              <w:right w:w="110" w:type="dxa"/>
            </w:tcMar>
            <w:vAlign w:val="top"/>
          </w:tcPr>
          <w:p>
            <w:pPr>
              <w:spacing w:after="20"/>
            </w:pPr>
            <w:r>
              <w:rPr>
                <w:b/>
                <w:sz w:val="19"/>
              </w:rPr>
              <w:t>Version</w:t>
            </w:r>
          </w:p>
        </w:tc>
        <w:tc>
          <w:tcPr>
            <w:tcW w:type="dxa" w:w="6480"/>
            <w:tcMar>
              <w:top w:w="60" w:type="dxa"/>
              <w:left w:w="110" w:type="dxa"/>
              <w:bottom w:w="60" w:type="dxa"/>
              <w:right w:w="110" w:type="dxa"/>
            </w:tcMar>
            <w:vAlign w:val="top"/>
          </w:tcPr>
          <w:p>
            <w:pPr>
              <w:spacing w:after="20"/>
            </w:pPr>
            <w:r>
              <w:rPr>
                <w:sz w:val="19"/>
              </w:rPr>
              <w:t>2.0</w:t>
            </w:r>
          </w:p>
        </w:tc>
      </w:tr>
      <w:tr>
        <w:tc>
          <w:tcPr>
            <w:tcW w:type="dxa" w:w="2880"/>
            <w:shd w:val="clear" w:color="auto" w:fill="EAF1F6"/>
            <w:tcMar>
              <w:top w:w="60" w:type="dxa"/>
              <w:left w:w="110" w:type="dxa"/>
              <w:bottom w:w="60" w:type="dxa"/>
              <w:right w:w="110" w:type="dxa"/>
            </w:tcMar>
            <w:vAlign w:val="top"/>
          </w:tcPr>
          <w:p>
            <w:pPr>
              <w:spacing w:after="20"/>
            </w:pPr>
            <w:r>
              <w:rPr>
                <w:b/>
                <w:sz w:val="19"/>
              </w:rPr>
              <w:t>Date</w:t>
            </w:r>
          </w:p>
        </w:tc>
        <w:tc>
          <w:tcPr>
            <w:tcW w:type="dxa" w:w="6480"/>
            <w:shd w:val="clear" w:color="auto" w:fill="EAF1F6"/>
            <w:tcMar>
              <w:top w:w="60" w:type="dxa"/>
              <w:left w:w="110" w:type="dxa"/>
              <w:bottom w:w="60" w:type="dxa"/>
              <w:right w:w="110" w:type="dxa"/>
            </w:tcMar>
            <w:vAlign w:val="top"/>
          </w:tcPr>
          <w:p>
            <w:pPr>
              <w:spacing w:after="20"/>
            </w:pPr>
            <w:r>
              <w:rPr>
                <w:sz w:val="19"/>
              </w:rPr>
              <w:t>8 July 2026</w:t>
            </w:r>
          </w:p>
        </w:tc>
      </w:tr>
      <w:tr>
        <w:tc>
          <w:tcPr>
            <w:tcW w:type="dxa" w:w="2880"/>
            <w:tcMar>
              <w:top w:w="60" w:type="dxa"/>
              <w:left w:w="110" w:type="dxa"/>
              <w:bottom w:w="60" w:type="dxa"/>
              <w:right w:w="110" w:type="dxa"/>
            </w:tcMar>
            <w:vAlign w:val="top"/>
          </w:tcPr>
          <w:p>
            <w:pPr>
              <w:spacing w:after="20"/>
            </w:pPr>
            <w:r>
              <w:rPr>
                <w:b/>
                <w:sz w:val="19"/>
              </w:rPr>
              <w:t>Status</w:t>
            </w:r>
          </w:p>
        </w:tc>
        <w:tc>
          <w:tcPr>
            <w:tcW w:type="dxa" w:w="6480"/>
            <w:tcMar>
              <w:top w:w="60" w:type="dxa"/>
              <w:left w:w="110" w:type="dxa"/>
              <w:bottom w:w="60" w:type="dxa"/>
              <w:right w:w="110" w:type="dxa"/>
            </w:tcMar>
            <w:vAlign w:val="top"/>
          </w:tcPr>
          <w:p>
            <w:pPr>
              <w:spacing w:after="20"/>
            </w:pPr>
            <w:r>
              <w:rPr>
                <w:sz w:val="19"/>
              </w:rPr>
              <w:t>Issued for build</w:t>
            </w:r>
          </w:p>
        </w:tc>
      </w:tr>
      <w:tr>
        <w:tc>
          <w:tcPr>
            <w:tcW w:type="dxa" w:w="2880"/>
            <w:shd w:val="clear" w:color="auto" w:fill="EAF1F6"/>
            <w:tcMar>
              <w:top w:w="60" w:type="dxa"/>
              <w:left w:w="110" w:type="dxa"/>
              <w:bottom w:w="60" w:type="dxa"/>
              <w:right w:w="110" w:type="dxa"/>
            </w:tcMar>
            <w:vAlign w:val="top"/>
          </w:tcPr>
          <w:p>
            <w:pPr>
              <w:spacing w:after="20"/>
            </w:pPr>
            <w:r>
              <w:rPr>
                <w:b/>
                <w:sz w:val="19"/>
              </w:rPr>
              <w:t>Owner</w:t>
            </w:r>
          </w:p>
        </w:tc>
        <w:tc>
          <w:tcPr>
            <w:tcW w:type="dxa" w:w="6480"/>
            <w:shd w:val="clear" w:color="auto" w:fill="EAF1F6"/>
            <w:tcMar>
              <w:top w:w="60" w:type="dxa"/>
              <w:left w:w="110" w:type="dxa"/>
              <w:bottom w:w="60" w:type="dxa"/>
              <w:right w:w="110" w:type="dxa"/>
            </w:tcMar>
            <w:vAlign w:val="top"/>
          </w:tcPr>
          <w:p>
            <w:pPr>
              <w:spacing w:after="20"/>
            </w:pPr>
            <w:r>
              <w:rPr>
                <w:sz w:val="19"/>
              </w:rPr>
              <w:t>Head of Platform / Partnerships Engineering</w:t>
            </w:r>
          </w:p>
        </w:tc>
      </w:tr>
      <w:tr>
        <w:tc>
          <w:tcPr>
            <w:tcW w:type="dxa" w:w="2880"/>
            <w:tcMar>
              <w:top w:w="60" w:type="dxa"/>
              <w:left w:w="110" w:type="dxa"/>
              <w:bottom w:w="60" w:type="dxa"/>
              <w:right w:w="110" w:type="dxa"/>
            </w:tcMar>
            <w:vAlign w:val="top"/>
          </w:tcPr>
          <w:p>
            <w:pPr>
              <w:spacing w:after="20"/>
            </w:pPr>
            <w:r>
              <w:rPr>
                <w:b/>
                <w:sz w:val="19"/>
              </w:rPr>
              <w:t>Classification</w:t>
            </w:r>
          </w:p>
        </w:tc>
        <w:tc>
          <w:tcPr>
            <w:tcW w:type="dxa" w:w="6480"/>
            <w:tcMar>
              <w:top w:w="60" w:type="dxa"/>
              <w:left w:w="110" w:type="dxa"/>
              <w:bottom w:w="60" w:type="dxa"/>
              <w:right w:w="110" w:type="dxa"/>
            </w:tcMar>
            <w:vAlign w:val="top"/>
          </w:tcPr>
          <w:p>
            <w:pPr>
              <w:spacing w:after="20"/>
            </w:pPr>
            <w:r>
              <w:rPr>
                <w:sz w:val="19"/>
              </w:rPr>
              <w:t>Confidential — Internal</w:t>
            </w:r>
          </w:p>
        </w:tc>
      </w:tr>
      <w:tr>
        <w:tc>
          <w:tcPr>
            <w:tcW w:type="dxa" w:w="2880"/>
            <w:shd w:val="clear" w:color="auto" w:fill="EAF1F6"/>
            <w:tcMar>
              <w:top w:w="60" w:type="dxa"/>
              <w:left w:w="110" w:type="dxa"/>
              <w:bottom w:w="60" w:type="dxa"/>
              <w:right w:w="110" w:type="dxa"/>
            </w:tcMar>
            <w:vAlign w:val="top"/>
          </w:tcPr>
          <w:p>
            <w:pPr>
              <w:spacing w:after="20"/>
            </w:pPr>
            <w:r>
              <w:rPr>
                <w:b/>
                <w:sz w:val="19"/>
              </w:rPr>
              <w:t>Companions</w:t>
            </w:r>
          </w:p>
        </w:tc>
        <w:tc>
          <w:tcPr>
            <w:tcW w:type="dxa" w:w="6480"/>
            <w:shd w:val="clear" w:color="auto" w:fill="EAF1F6"/>
            <w:tcMar>
              <w:top w:w="60" w:type="dxa"/>
              <w:left w:w="110" w:type="dxa"/>
              <w:bottom w:w="60" w:type="dxa"/>
              <w:right w:w="110" w:type="dxa"/>
            </w:tcMar>
            <w:vAlign w:val="top"/>
          </w:tcPr>
          <w:p>
            <w:pPr>
              <w:spacing w:after="20"/>
            </w:pPr>
            <w:r>
              <w:rPr>
                <w:sz w:val="19"/>
              </w:rPr>
              <w:t>EQR-01 §8 · EQR-03 (NBFC, grievance) · EQR-08 (billing) · EQR-14 (data-sharing) · archived OpenAPI</w:t>
            </w:r>
          </w:p>
        </w:tc>
      </w:tr>
    </w:tbl>
    <w:p>
      <w:pPr>
        <w:spacing w:after="40"/>
      </w:pPr>
    </w:p>
    <w:p/>
    <w:p>
      <w:pPr>
        <w:pStyle w:val="Heading1"/>
      </w:pPr>
      <w:r>
        <w:t>Contents</w:t>
      </w:r>
    </w:p>
    <w:p>
      <w:r>
        <w:rPr>
          <w:color w:val="5A6B7B"/>
          <w:sz w:val="16"/>
        </w:rPr>
        <w:fldChar w:fldCharType="begin"/>
        <w:instrText xml:space="preserve">TOC \o "1-3" \h \z \u</w:instrText>
        <w:fldChar w:fldCharType="end"/>
      </w:r>
    </w:p>
    <w:p>
      <w:r>
        <w:rPr>
          <w:i/>
          <w:color w:val="5A6B7B"/>
          <w:sz w:val="17"/>
        </w:rPr>
        <w:t>(Right-click and choose “Update Field”, or press F9, to populate the table of contents.)</w:t>
      </w:r>
    </w:p>
    <w:p>
      <w:r>
        <w:br w:type="page"/>
      </w:r>
    </w:p>
    <w:p>
      <w:pPr>
        <w:pStyle w:val="Heading1"/>
      </w:pPr>
      <w:r>
        <w:t>1. Purpose</w:t>
      </w:r>
    </w:p>
    <w:p>
      <w:pPr>
        <w:spacing w:after="120"/>
      </w:pPr>
      <w:r>
        <w:rPr>
          <w:b w:val="0"/>
        </w:rPr>
        <w:t>Volume in Indian ODR comes from being embedded, not visited. This document specifies how a company connects its own complaint and grievance systems to Equator so that unresolved matters flow to the platform automatically, and how developers build on Equator's APIs. It covers the escalation model, the sector-specific grievance integrations (NBFC, UCB, listed company), the integration patterns, and the full API surface — both the APIs Equator offers and the third-party APIs it consumes.</w:t>
      </w:r>
    </w:p>
    <w:p>
      <w:pPr>
        <w:spacing w:before="80" w:after="160"/>
        <w:jc w:val="center"/>
      </w:pPr>
      <w:r>
        <w:rPr>
          <w:b/>
          <w:i/>
          <w:color w:val="1F7A8C"/>
          <w:sz w:val="24"/>
        </w:rPr>
        <w:t>Integrate your business — resolve online, avoid litigation.</w:t>
      </w:r>
    </w:p>
    <w:p>
      <w:pPr>
        <w:pStyle w:val="Heading1"/>
      </w:pPr>
      <w:r>
        <w:t>2. The Complaint-to-Escalation Model</w:t>
      </w:r>
    </w:p>
    <w:p>
      <w:pPr>
        <w:spacing w:after="120"/>
      </w:pPr>
      <w:r>
        <w:rPr>
          <w:b w:val="0"/>
        </w:rPr>
        <w:t>The core enterprise workflow: a company receives a complaint, raises a ticket in its own system, tries to resolve it, and — if it cannot within its SLA — escalates it to Equator, where it enters the ODR ladder. Equator offers the integration/API so this is automatic.</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2160"/>
            <w:shd w:val="clear" w:color="auto" w:fill="0B2E4F"/>
            <w:tcMar>
              <w:top w:w="60" w:type="dxa"/>
              <w:left w:w="110" w:type="dxa"/>
              <w:bottom w:w="60" w:type="dxa"/>
              <w:right w:w="110" w:type="dxa"/>
            </w:tcMar>
            <w:vAlign w:val="center"/>
          </w:tcPr>
          <w:p>
            <w:pPr>
              <w:spacing w:after="20"/>
            </w:pPr>
            <w:r>
              <w:rPr>
                <w:b/>
                <w:color w:val="FFFFFF"/>
                <w:sz w:val="17"/>
              </w:rPr>
              <w:t>Step</w:t>
            </w:r>
          </w:p>
        </w:tc>
        <w:tc>
          <w:tcPr>
            <w:tcW w:type="dxa" w:w="3744"/>
            <w:shd w:val="clear" w:color="auto" w:fill="0B2E4F"/>
            <w:tcMar>
              <w:top w:w="60" w:type="dxa"/>
              <w:left w:w="110" w:type="dxa"/>
              <w:bottom w:w="60" w:type="dxa"/>
              <w:right w:w="110" w:type="dxa"/>
            </w:tcMar>
            <w:vAlign w:val="center"/>
          </w:tcPr>
          <w:p>
            <w:pPr>
              <w:spacing w:after="20"/>
            </w:pPr>
            <w:r>
              <w:rPr>
                <w:b/>
                <w:color w:val="FFFFFF"/>
                <w:sz w:val="17"/>
              </w:rPr>
              <w:t>In the company's system</w:t>
            </w:r>
          </w:p>
        </w:tc>
        <w:tc>
          <w:tcPr>
            <w:tcW w:type="dxa" w:w="3456"/>
            <w:shd w:val="clear" w:color="auto" w:fill="0B2E4F"/>
            <w:tcMar>
              <w:top w:w="60" w:type="dxa"/>
              <w:left w:w="110" w:type="dxa"/>
              <w:bottom w:w="60" w:type="dxa"/>
              <w:right w:w="110" w:type="dxa"/>
            </w:tcMar>
            <w:vAlign w:val="center"/>
          </w:tcPr>
          <w:p>
            <w:pPr>
              <w:spacing w:after="20"/>
            </w:pPr>
            <w:r>
              <w:rPr>
                <w:b/>
                <w:color w:val="FFFFFF"/>
                <w:sz w:val="17"/>
              </w:rPr>
              <w:t>On Equator</w:t>
            </w:r>
          </w:p>
        </w:tc>
      </w:tr>
      <w:tr>
        <w:tc>
          <w:tcPr>
            <w:tcW w:type="dxa" w:w="2160"/>
            <w:tcMar>
              <w:top w:w="60" w:type="dxa"/>
              <w:left w:w="110" w:type="dxa"/>
              <w:bottom w:w="60" w:type="dxa"/>
              <w:right w:w="110" w:type="dxa"/>
            </w:tcMar>
            <w:vAlign w:val="top"/>
          </w:tcPr>
          <w:p>
            <w:pPr>
              <w:spacing w:after="20"/>
            </w:pPr>
            <w:r>
              <w:rPr>
                <w:b/>
                <w:sz w:val="17"/>
              </w:rPr>
              <w:t>1. Complaint received</w:t>
            </w:r>
          </w:p>
        </w:tc>
        <w:tc>
          <w:tcPr>
            <w:tcW w:type="dxa" w:w="3744"/>
            <w:tcMar>
              <w:top w:w="60" w:type="dxa"/>
              <w:left w:w="110" w:type="dxa"/>
              <w:bottom w:w="60" w:type="dxa"/>
              <w:right w:w="110" w:type="dxa"/>
            </w:tcMar>
            <w:vAlign w:val="top"/>
          </w:tcPr>
          <w:p>
            <w:pPr>
              <w:spacing w:after="20"/>
            </w:pPr>
            <w:r>
              <w:rPr>
                <w:sz w:val="17"/>
              </w:rPr>
              <w:t>Customer/employee/stakeholder complaint logged; ticket raised</w:t>
            </w:r>
          </w:p>
        </w:tc>
        <w:tc>
          <w:tcPr>
            <w:tcW w:type="dxa" w:w="3456"/>
            <w:tcMar>
              <w:top w:w="60" w:type="dxa"/>
              <w:left w:w="110" w:type="dxa"/>
              <w:bottom w:w="60" w:type="dxa"/>
              <w:right w:w="110" w:type="dxa"/>
            </w:tcMar>
            <w:vAlign w:val="top"/>
          </w:tcPr>
          <w:p>
            <w:pPr>
              <w:spacing w:after="20"/>
            </w:pPr>
            <w:r>
              <w:rPr>
                <w:sz w:val="17"/>
              </w:rPr>
              <w:t>—</w:t>
            </w:r>
          </w:p>
        </w:tc>
      </w:tr>
      <w:tr>
        <w:tc>
          <w:tcPr>
            <w:tcW w:type="dxa" w:w="2160"/>
            <w:shd w:val="clear" w:color="auto" w:fill="EAF1F6"/>
            <w:tcMar>
              <w:top w:w="60" w:type="dxa"/>
              <w:left w:w="110" w:type="dxa"/>
              <w:bottom w:w="60" w:type="dxa"/>
              <w:right w:w="110" w:type="dxa"/>
            </w:tcMar>
            <w:vAlign w:val="top"/>
          </w:tcPr>
          <w:p>
            <w:pPr>
              <w:spacing w:after="20"/>
            </w:pPr>
            <w:r>
              <w:rPr>
                <w:b/>
                <w:sz w:val="17"/>
              </w:rPr>
              <w:t>2. Internal resolution</w:t>
            </w:r>
          </w:p>
        </w:tc>
        <w:tc>
          <w:tcPr>
            <w:tcW w:type="dxa" w:w="3744"/>
            <w:shd w:val="clear" w:color="auto" w:fill="EAF1F6"/>
            <w:tcMar>
              <w:top w:w="60" w:type="dxa"/>
              <w:left w:w="110" w:type="dxa"/>
              <w:bottom w:w="60" w:type="dxa"/>
              <w:right w:w="110" w:type="dxa"/>
            </w:tcMar>
            <w:vAlign w:val="top"/>
          </w:tcPr>
          <w:p>
            <w:pPr>
              <w:spacing w:after="20"/>
            </w:pPr>
            <w:r>
              <w:rPr>
                <w:sz w:val="17"/>
              </w:rPr>
              <w:t>Company works the ticket within its SLA (e.g., 30 days for lending)</w:t>
            </w:r>
          </w:p>
        </w:tc>
        <w:tc>
          <w:tcPr>
            <w:tcW w:type="dxa" w:w="3456"/>
            <w:shd w:val="clear" w:color="auto" w:fill="EAF1F6"/>
            <w:tcMar>
              <w:top w:w="60" w:type="dxa"/>
              <w:left w:w="110" w:type="dxa"/>
              <w:bottom w:w="60" w:type="dxa"/>
              <w:right w:w="110" w:type="dxa"/>
            </w:tcMar>
            <w:vAlign w:val="top"/>
          </w:tcPr>
          <w:p>
            <w:pPr>
              <w:spacing w:after="20"/>
            </w:pPr>
            <w:r>
              <w:rPr>
                <w:sz w:val="17"/>
              </w:rPr>
              <w:t>—</w:t>
            </w:r>
          </w:p>
        </w:tc>
      </w:tr>
      <w:tr>
        <w:tc>
          <w:tcPr>
            <w:tcW w:type="dxa" w:w="2160"/>
            <w:tcMar>
              <w:top w:w="60" w:type="dxa"/>
              <w:left w:w="110" w:type="dxa"/>
              <w:bottom w:w="60" w:type="dxa"/>
              <w:right w:w="110" w:type="dxa"/>
            </w:tcMar>
            <w:vAlign w:val="top"/>
          </w:tcPr>
          <w:p>
            <w:pPr>
              <w:spacing w:after="20"/>
            </w:pPr>
            <w:r>
              <w:rPr>
                <w:b/>
                <w:sz w:val="17"/>
              </w:rPr>
              <w:t>3. Trigger</w:t>
            </w:r>
          </w:p>
        </w:tc>
        <w:tc>
          <w:tcPr>
            <w:tcW w:type="dxa" w:w="3744"/>
            <w:tcMar>
              <w:top w:w="60" w:type="dxa"/>
              <w:left w:w="110" w:type="dxa"/>
              <w:bottom w:w="60" w:type="dxa"/>
              <w:right w:w="110" w:type="dxa"/>
            </w:tcMar>
            <w:vAlign w:val="top"/>
          </w:tcPr>
          <w:p>
            <w:pPr>
              <w:spacing w:after="20"/>
            </w:pPr>
            <w:r>
              <w:rPr>
                <w:sz w:val="17"/>
              </w:rPr>
              <w:t>On SLA breach or 'unresolved' status, the ticket is pushed to Equator</w:t>
            </w:r>
          </w:p>
        </w:tc>
        <w:tc>
          <w:tcPr>
            <w:tcW w:type="dxa" w:w="3456"/>
            <w:tcMar>
              <w:top w:w="60" w:type="dxa"/>
              <w:left w:w="110" w:type="dxa"/>
              <w:bottom w:w="60" w:type="dxa"/>
              <w:right w:w="110" w:type="dxa"/>
            </w:tcMar>
            <w:vAlign w:val="top"/>
          </w:tcPr>
          <w:p>
            <w:pPr>
              <w:spacing w:after="20"/>
            </w:pPr>
            <w:r>
              <w:rPr>
                <w:sz w:val="17"/>
              </w:rPr>
              <w:t>Escalation received via API/webhook</w:t>
            </w:r>
          </w:p>
        </w:tc>
      </w:tr>
      <w:tr>
        <w:tc>
          <w:tcPr>
            <w:tcW w:type="dxa" w:w="2160"/>
            <w:shd w:val="clear" w:color="auto" w:fill="EAF1F6"/>
            <w:tcMar>
              <w:top w:w="60" w:type="dxa"/>
              <w:left w:w="110" w:type="dxa"/>
              <w:bottom w:w="60" w:type="dxa"/>
              <w:right w:w="110" w:type="dxa"/>
            </w:tcMar>
            <w:vAlign w:val="top"/>
          </w:tcPr>
          <w:p>
            <w:pPr>
              <w:spacing w:after="20"/>
            </w:pPr>
            <w:r>
              <w:rPr>
                <w:b/>
                <w:sz w:val="17"/>
              </w:rPr>
              <w:t>4. Case creation</w:t>
            </w:r>
          </w:p>
        </w:tc>
        <w:tc>
          <w:tcPr>
            <w:tcW w:type="dxa" w:w="3744"/>
            <w:shd w:val="clear" w:color="auto" w:fill="EAF1F6"/>
            <w:tcMar>
              <w:top w:w="60" w:type="dxa"/>
              <w:left w:w="110" w:type="dxa"/>
              <w:bottom w:w="60" w:type="dxa"/>
              <w:right w:w="110" w:type="dxa"/>
            </w:tcMar>
            <w:vAlign w:val="top"/>
          </w:tcPr>
          <w:p>
            <w:pPr>
              <w:spacing w:after="20"/>
            </w:pPr>
            <w:r>
              <w:rPr>
                <w:sz w:val="17"/>
              </w:rPr>
              <w:t>Ticket + consent + evidence mapped to a case</w:t>
            </w:r>
          </w:p>
        </w:tc>
        <w:tc>
          <w:tcPr>
            <w:tcW w:type="dxa" w:w="3456"/>
            <w:shd w:val="clear" w:color="auto" w:fill="EAF1F6"/>
            <w:tcMar>
              <w:top w:w="60" w:type="dxa"/>
              <w:left w:w="110" w:type="dxa"/>
              <w:bottom w:w="60" w:type="dxa"/>
              <w:right w:w="110" w:type="dxa"/>
            </w:tcMar>
            <w:vAlign w:val="top"/>
          </w:tcPr>
          <w:p>
            <w:pPr>
              <w:spacing w:after="20"/>
            </w:pPr>
            <w:r>
              <w:rPr>
                <w:sz w:val="17"/>
              </w:rPr>
              <w:t>Case created with escalation_contract, clock started</w:t>
            </w:r>
          </w:p>
        </w:tc>
      </w:tr>
      <w:tr>
        <w:tc>
          <w:tcPr>
            <w:tcW w:type="dxa" w:w="2160"/>
            <w:tcMar>
              <w:top w:w="60" w:type="dxa"/>
              <w:left w:w="110" w:type="dxa"/>
              <w:bottom w:w="60" w:type="dxa"/>
              <w:right w:w="110" w:type="dxa"/>
            </w:tcMar>
            <w:vAlign w:val="top"/>
          </w:tcPr>
          <w:p>
            <w:pPr>
              <w:spacing w:after="20"/>
            </w:pPr>
            <w:r>
              <w:rPr>
                <w:b/>
                <w:sz w:val="17"/>
              </w:rPr>
              <w:t>5. Resolution</w:t>
            </w:r>
          </w:p>
        </w:tc>
        <w:tc>
          <w:tcPr>
            <w:tcW w:type="dxa" w:w="3744"/>
            <w:tcMar>
              <w:top w:w="60" w:type="dxa"/>
              <w:left w:w="110" w:type="dxa"/>
              <w:bottom w:w="60" w:type="dxa"/>
              <w:right w:w="110" w:type="dxa"/>
            </w:tcMar>
            <w:vAlign w:val="top"/>
          </w:tcPr>
          <w:p>
            <w:pPr>
              <w:spacing w:after="20"/>
            </w:pPr>
            <w:r>
              <w:rPr>
                <w:sz w:val="17"/>
              </w:rPr>
              <w:t>Company participates as a party</w:t>
            </w:r>
          </w:p>
        </w:tc>
        <w:tc>
          <w:tcPr>
            <w:tcW w:type="dxa" w:w="3456"/>
            <w:tcMar>
              <w:top w:w="60" w:type="dxa"/>
              <w:left w:w="110" w:type="dxa"/>
              <w:bottom w:w="60" w:type="dxa"/>
              <w:right w:w="110" w:type="dxa"/>
            </w:tcMar>
            <w:vAlign w:val="top"/>
          </w:tcPr>
          <w:p>
            <w:pPr>
              <w:spacing w:after="20"/>
            </w:pPr>
            <w:r>
              <w:rPr>
                <w:sz w:val="17"/>
              </w:rPr>
              <w:t>ODR ladder: conciliation→mediation/arbitration</w:t>
            </w:r>
          </w:p>
        </w:tc>
      </w:tr>
      <w:tr>
        <w:tc>
          <w:tcPr>
            <w:tcW w:type="dxa" w:w="2160"/>
            <w:shd w:val="clear" w:color="auto" w:fill="EAF1F6"/>
            <w:tcMar>
              <w:top w:w="60" w:type="dxa"/>
              <w:left w:w="110" w:type="dxa"/>
              <w:bottom w:w="60" w:type="dxa"/>
              <w:right w:w="110" w:type="dxa"/>
            </w:tcMar>
            <w:vAlign w:val="top"/>
          </w:tcPr>
          <w:p>
            <w:pPr>
              <w:spacing w:after="20"/>
            </w:pPr>
            <w:r>
              <w:rPr>
                <w:b/>
                <w:sz w:val="17"/>
              </w:rPr>
              <w:t>6. Outcome &amp; sync</w:t>
            </w:r>
          </w:p>
        </w:tc>
        <w:tc>
          <w:tcPr>
            <w:tcW w:type="dxa" w:w="3744"/>
            <w:shd w:val="clear" w:color="auto" w:fill="EAF1F6"/>
            <w:tcMar>
              <w:top w:w="60" w:type="dxa"/>
              <w:left w:w="110" w:type="dxa"/>
              <w:bottom w:w="60" w:type="dxa"/>
              <w:right w:w="110" w:type="dxa"/>
            </w:tcMar>
            <w:vAlign w:val="top"/>
          </w:tcPr>
          <w:p>
            <w:pPr>
              <w:spacing w:after="20"/>
            </w:pPr>
            <w:r>
              <w:rPr>
                <w:sz w:val="17"/>
              </w:rPr>
              <w:t>Ticket updated with outcome/status</w:t>
            </w:r>
          </w:p>
        </w:tc>
        <w:tc>
          <w:tcPr>
            <w:tcW w:type="dxa" w:w="3456"/>
            <w:shd w:val="clear" w:color="auto" w:fill="EAF1F6"/>
            <w:tcMar>
              <w:top w:w="60" w:type="dxa"/>
              <w:left w:w="110" w:type="dxa"/>
              <w:bottom w:w="60" w:type="dxa"/>
              <w:right w:w="110" w:type="dxa"/>
            </w:tcMar>
            <w:vAlign w:val="top"/>
          </w:tcPr>
          <w:p>
            <w:pPr>
              <w:spacing w:after="20"/>
            </w:pPr>
            <w:r>
              <w:rPr>
                <w:sz w:val="17"/>
              </w:rPr>
              <w:t>Outcome, status and certified copy synced back</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r>
              <w:rPr>
                <w:b/>
                <w:color w:val="0B2E4F"/>
                <w:sz w:val="19"/>
              </w:rPr>
              <w:t xml:space="preserve">Escalation, not replacement.  </w:t>
            </w:r>
            <w:r>
              <w:rPr>
                <w:color w:val="1A1A1A"/>
                <w:sz w:val="19"/>
              </w:rPr>
              <w:t>Equator does not replace the company's first-line grievance desk; it is the neutral escalation tier when the desk cannot resolve. This keeps the company compliant (RBI/SEBI grievance duties) while absorbing disputes before they reach a court.</w:t>
            </w:r>
          </w:p>
        </w:tc>
      </w:tr>
    </w:tbl>
    <w:p>
      <w:pPr>
        <w:spacing w:after="40"/>
      </w:pPr>
    </w:p>
    <w:p>
      <w:pPr>
        <w:pStyle w:val="Heading1"/>
      </w:pPr>
      <w:r>
        <w:t>3. Sector Grievance Integrations</w:t>
      </w:r>
    </w:p>
    <w:p>
      <w:pPr>
        <w:pStyle w:val="Heading2"/>
      </w:pPr>
      <w:r>
        <w:t>3.1 NBFCs &amp; lenders</w:t>
      </w:r>
    </w:p>
    <w:p>
      <w:pPr>
        <w:pStyle w:val="ListBullet"/>
      </w:pPr>
      <w:r>
        <w:t>Clause-embedded intake: the loan agreement's dispute-resolution clause routes disputes to Equator; borrower consent and data-localisation logged.</w:t>
      </w:r>
    </w:p>
    <w:p>
      <w:pPr>
        <w:pStyle w:val="ListBullet"/>
      </w:pPr>
      <w:r>
        <w:t>Bulk intake (CSV/API) of disputed loans; nodal-officer workflow; 30-day RBI grievance SLA; escalation visibility to RBI CMS.</w:t>
      </w:r>
    </w:p>
    <w:p>
      <w:pPr>
        <w:pStyle w:val="ListBullet"/>
      </w:pPr>
      <w:r>
        <w:t>Outcome sync to the lender's LMS/CRM; settlement schedules linked to escrow/payment (EQR-08).</w:t>
      </w:r>
    </w:p>
    <w:p>
      <w:pPr>
        <w:pStyle w:val="Heading2"/>
      </w:pPr>
      <w:r>
        <w:t>3.2 Urban co-operative banks (UCBs)</w:t>
      </w:r>
    </w:p>
    <w:p>
      <w:pPr>
        <w:pStyle w:val="ListBullet"/>
      </w:pPr>
      <w:r>
        <w:t>Customer-grievance escalation for deposits, loans and service complaints; RBI ombudsman-aligned escalation visibility.</w:t>
      </w:r>
    </w:p>
    <w:p>
      <w:pPr>
        <w:pStyle w:val="ListBullet"/>
      </w:pPr>
      <w:r>
        <w:t>Configurable per-branch routing and nodal-officer intake; vernacular notices for member reach.</w:t>
      </w:r>
    </w:p>
    <w:p>
      <w:pPr>
        <w:pStyle w:val="Heading2"/>
      </w:pPr>
      <w:r>
        <w:t>3.3 Listed companies — shareholder &amp; stakeholder disputes</w:t>
      </w:r>
    </w:p>
    <w:p>
      <w:pPr>
        <w:pStyle w:val="ListBullet"/>
      </w:pPr>
      <w:r>
        <w:t>Stakeholder-grievance intake for shareholders and other stakeholders; SEBI SCORES/SMART-ODR sequencing for securities-market disputes (EQR-03 §7).</w:t>
      </w:r>
    </w:p>
    <w:p>
      <w:pPr>
        <w:pStyle w:val="ListBullet"/>
      </w:pPr>
      <w:r>
        <w:t>Investor-grievance escalation with statutory clocks; SSO with SCORES/intermediary credentials.</w:t>
      </w:r>
    </w:p>
    <w:p>
      <w:pPr>
        <w:pStyle w:val="ListBullet"/>
      </w:pPr>
      <w:r>
        <w:t>Board/secretarial reporting export for the stakeholders' relationship committee.</w:t>
      </w:r>
    </w:p>
    <w:p>
      <w:pPr>
        <w:pStyle w:val="Heading2"/>
      </w:pPr>
      <w:r>
        <w:t>3.4 Employers — employee grievances &amp; POSH</w:t>
      </w:r>
    </w:p>
    <w:p>
      <w:pPr>
        <w:spacing w:after="120"/>
      </w:pPr>
      <w:r>
        <w:rPr>
          <w:b w:val="0"/>
        </w:rPr>
        <w:t>The enterprise grievance module (EQR-03 §5) provides single-window intake that auto-routes general grievances and POSH complaints to the right handler, with consented escalation to EDRS. Account Aggregator ecosystem participants can route inter-member disputes to Equator as an empanelled ODR institution (Sahamati model).</w:t>
      </w:r>
    </w:p>
    <w:p>
      <w:pPr>
        <w:pStyle w:val="Heading1"/>
      </w:pPr>
      <w:r>
        <w:t>4. Integration Patterns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2160"/>
            <w:shd w:val="clear" w:color="auto" w:fill="0B2E4F"/>
            <w:tcMar>
              <w:top w:w="60" w:type="dxa"/>
              <w:left w:w="110" w:type="dxa"/>
              <w:bottom w:w="60" w:type="dxa"/>
              <w:right w:w="110" w:type="dxa"/>
            </w:tcMar>
            <w:vAlign w:val="center"/>
          </w:tcPr>
          <w:p>
            <w:pPr>
              <w:spacing w:after="20"/>
            </w:pPr>
            <w:r>
              <w:rPr>
                <w:b/>
                <w:color w:val="FFFFFF"/>
                <w:sz w:val="18"/>
              </w:rPr>
              <w:t>Pattern</w:t>
            </w:r>
          </w:p>
        </w:tc>
        <w:tc>
          <w:tcPr>
            <w:tcW w:type="dxa" w:w="4320"/>
            <w:shd w:val="clear" w:color="auto" w:fill="0B2E4F"/>
            <w:tcMar>
              <w:top w:w="60" w:type="dxa"/>
              <w:left w:w="110" w:type="dxa"/>
              <w:bottom w:w="60" w:type="dxa"/>
              <w:right w:w="110" w:type="dxa"/>
            </w:tcMar>
            <w:vAlign w:val="center"/>
          </w:tcPr>
          <w:p>
            <w:pPr>
              <w:spacing w:after="20"/>
            </w:pPr>
            <w:r>
              <w:rPr>
                <w:b/>
                <w:color w:val="FFFFFF"/>
                <w:sz w:val="18"/>
              </w:rPr>
              <w:t>What it is</w:t>
            </w:r>
          </w:p>
        </w:tc>
        <w:tc>
          <w:tcPr>
            <w:tcW w:type="dxa" w:w="2880"/>
            <w:shd w:val="clear" w:color="auto" w:fill="0B2E4F"/>
            <w:tcMar>
              <w:top w:w="60" w:type="dxa"/>
              <w:left w:w="110" w:type="dxa"/>
              <w:bottom w:w="60" w:type="dxa"/>
              <w:right w:w="110" w:type="dxa"/>
            </w:tcMar>
            <w:vAlign w:val="center"/>
          </w:tcPr>
          <w:p>
            <w:pPr>
              <w:spacing w:after="20"/>
            </w:pPr>
            <w:r>
              <w:rPr>
                <w:b/>
                <w:color w:val="FFFFFF"/>
                <w:sz w:val="18"/>
              </w:rPr>
              <w:t>Best for</w:t>
            </w:r>
          </w:p>
        </w:tc>
      </w:tr>
      <w:tr>
        <w:tc>
          <w:tcPr>
            <w:tcW w:type="dxa" w:w="2160"/>
            <w:tcMar>
              <w:top w:w="60" w:type="dxa"/>
              <w:left w:w="110" w:type="dxa"/>
              <w:bottom w:w="60" w:type="dxa"/>
              <w:right w:w="110" w:type="dxa"/>
            </w:tcMar>
            <w:vAlign w:val="top"/>
          </w:tcPr>
          <w:p>
            <w:pPr>
              <w:spacing w:after="20"/>
            </w:pPr>
            <w:r>
              <w:rPr>
                <w:b/>
                <w:sz w:val="18"/>
              </w:rPr>
              <w:t>Embedded widget</w:t>
            </w:r>
          </w:p>
        </w:tc>
        <w:tc>
          <w:tcPr>
            <w:tcW w:type="dxa" w:w="4320"/>
            <w:tcMar>
              <w:top w:w="60" w:type="dxa"/>
              <w:left w:w="110" w:type="dxa"/>
              <w:bottom w:w="60" w:type="dxa"/>
              <w:right w:w="110" w:type="dxa"/>
            </w:tcMar>
            <w:vAlign w:val="top"/>
          </w:tcPr>
          <w:p>
            <w:pPr>
              <w:spacing w:after="20"/>
            </w:pPr>
            <w:r>
              <w:rPr>
                <w:sz w:val="18"/>
              </w:rPr>
              <w:t>Equator intake/status embedded in the company's app/site</w:t>
            </w:r>
          </w:p>
        </w:tc>
        <w:tc>
          <w:tcPr>
            <w:tcW w:type="dxa" w:w="2880"/>
            <w:tcMar>
              <w:top w:w="60" w:type="dxa"/>
              <w:left w:w="110" w:type="dxa"/>
              <w:bottom w:w="60" w:type="dxa"/>
              <w:right w:w="110" w:type="dxa"/>
            </w:tcMar>
            <w:vAlign w:val="top"/>
          </w:tcPr>
          <w:p>
            <w:pPr>
              <w:spacing w:after="20"/>
            </w:pPr>
            <w:r>
              <w:rPr>
                <w:sz w:val="18"/>
              </w:rPr>
              <w:t>Consumer &amp; borrower self-service</w:t>
            </w:r>
          </w:p>
        </w:tc>
      </w:tr>
      <w:tr>
        <w:tc>
          <w:tcPr>
            <w:tcW w:type="dxa" w:w="2160"/>
            <w:shd w:val="clear" w:color="auto" w:fill="EAF1F6"/>
            <w:tcMar>
              <w:top w:w="60" w:type="dxa"/>
              <w:left w:w="110" w:type="dxa"/>
              <w:bottom w:w="60" w:type="dxa"/>
              <w:right w:w="110" w:type="dxa"/>
            </w:tcMar>
            <w:vAlign w:val="top"/>
          </w:tcPr>
          <w:p>
            <w:pPr>
              <w:spacing w:after="20"/>
            </w:pPr>
            <w:r>
              <w:rPr>
                <w:b/>
                <w:sz w:val="18"/>
              </w:rPr>
              <w:t>White-label</w:t>
            </w:r>
          </w:p>
        </w:tc>
        <w:tc>
          <w:tcPr>
            <w:tcW w:type="dxa" w:w="4320"/>
            <w:shd w:val="clear" w:color="auto" w:fill="EAF1F6"/>
            <w:tcMar>
              <w:top w:w="60" w:type="dxa"/>
              <w:left w:w="110" w:type="dxa"/>
              <w:bottom w:w="60" w:type="dxa"/>
              <w:right w:w="110" w:type="dxa"/>
            </w:tcMar>
            <w:vAlign w:val="top"/>
          </w:tcPr>
          <w:p>
            <w:pPr>
              <w:spacing w:after="20"/>
            </w:pPr>
            <w:r>
              <w:rPr>
                <w:sz w:val="18"/>
              </w:rPr>
              <w:t>Company-branded ODR experience on Equator rails</w:t>
            </w:r>
          </w:p>
        </w:tc>
        <w:tc>
          <w:tcPr>
            <w:tcW w:type="dxa" w:w="2880"/>
            <w:shd w:val="clear" w:color="auto" w:fill="EAF1F6"/>
            <w:tcMar>
              <w:top w:w="60" w:type="dxa"/>
              <w:left w:w="110" w:type="dxa"/>
              <w:bottom w:w="60" w:type="dxa"/>
              <w:right w:w="110" w:type="dxa"/>
            </w:tcMar>
            <w:vAlign w:val="top"/>
          </w:tcPr>
          <w:p>
            <w:pPr>
              <w:spacing w:after="20"/>
            </w:pPr>
            <w:r>
              <w:rPr>
                <w:sz w:val="18"/>
              </w:rPr>
              <w:t>Large enterprises, marketplaces</w:t>
            </w:r>
          </w:p>
        </w:tc>
      </w:tr>
      <w:tr>
        <w:tc>
          <w:tcPr>
            <w:tcW w:type="dxa" w:w="2160"/>
            <w:tcMar>
              <w:top w:w="60" w:type="dxa"/>
              <w:left w:w="110" w:type="dxa"/>
              <w:bottom w:w="60" w:type="dxa"/>
              <w:right w:w="110" w:type="dxa"/>
            </w:tcMar>
            <w:vAlign w:val="top"/>
          </w:tcPr>
          <w:p>
            <w:pPr>
              <w:spacing w:after="20"/>
            </w:pPr>
            <w:r>
              <w:rPr>
                <w:b/>
                <w:sz w:val="18"/>
              </w:rPr>
              <w:t>REST API + webhooks</w:t>
            </w:r>
          </w:p>
        </w:tc>
        <w:tc>
          <w:tcPr>
            <w:tcW w:type="dxa" w:w="4320"/>
            <w:tcMar>
              <w:top w:w="60" w:type="dxa"/>
              <w:left w:w="110" w:type="dxa"/>
              <w:bottom w:w="60" w:type="dxa"/>
              <w:right w:w="110" w:type="dxa"/>
            </w:tcMar>
            <w:vAlign w:val="top"/>
          </w:tcPr>
          <w:p>
            <w:pPr>
              <w:spacing w:after="20"/>
            </w:pPr>
            <w:r>
              <w:rPr>
                <w:sz w:val="18"/>
              </w:rPr>
              <w:t>System-to-system case creation and status sync</w:t>
            </w:r>
          </w:p>
        </w:tc>
        <w:tc>
          <w:tcPr>
            <w:tcW w:type="dxa" w:w="2880"/>
            <w:tcMar>
              <w:top w:w="60" w:type="dxa"/>
              <w:left w:w="110" w:type="dxa"/>
              <w:bottom w:w="60" w:type="dxa"/>
              <w:right w:w="110" w:type="dxa"/>
            </w:tcMar>
            <w:vAlign w:val="top"/>
          </w:tcPr>
          <w:p>
            <w:pPr>
              <w:spacing w:after="20"/>
            </w:pPr>
            <w:r>
              <w:rPr>
                <w:sz w:val="18"/>
              </w:rPr>
              <w:t>Ticketing/LMS/CRM integration</w:t>
            </w:r>
          </w:p>
        </w:tc>
      </w:tr>
      <w:tr>
        <w:tc>
          <w:tcPr>
            <w:tcW w:type="dxa" w:w="2160"/>
            <w:shd w:val="clear" w:color="auto" w:fill="EAF1F6"/>
            <w:tcMar>
              <w:top w:w="60" w:type="dxa"/>
              <w:left w:w="110" w:type="dxa"/>
              <w:bottom w:w="60" w:type="dxa"/>
              <w:right w:w="110" w:type="dxa"/>
            </w:tcMar>
            <w:vAlign w:val="top"/>
          </w:tcPr>
          <w:p>
            <w:pPr>
              <w:spacing w:after="20"/>
            </w:pPr>
            <w:r>
              <w:rPr>
                <w:b/>
                <w:sz w:val="18"/>
              </w:rPr>
              <w:t>Bulk intake</w:t>
            </w:r>
          </w:p>
        </w:tc>
        <w:tc>
          <w:tcPr>
            <w:tcW w:type="dxa" w:w="4320"/>
            <w:shd w:val="clear" w:color="auto" w:fill="EAF1F6"/>
            <w:tcMar>
              <w:top w:w="60" w:type="dxa"/>
              <w:left w:w="110" w:type="dxa"/>
              <w:bottom w:w="60" w:type="dxa"/>
              <w:right w:w="110" w:type="dxa"/>
            </w:tcMar>
            <w:vAlign w:val="top"/>
          </w:tcPr>
          <w:p>
            <w:pPr>
              <w:spacing w:after="20"/>
            </w:pPr>
            <w:r>
              <w:rPr>
                <w:sz w:val="18"/>
              </w:rPr>
              <w:t>CSV/API batch of many disputes</w:t>
            </w:r>
          </w:p>
        </w:tc>
        <w:tc>
          <w:tcPr>
            <w:tcW w:type="dxa" w:w="2880"/>
            <w:shd w:val="clear" w:color="auto" w:fill="EAF1F6"/>
            <w:tcMar>
              <w:top w:w="60" w:type="dxa"/>
              <w:left w:w="110" w:type="dxa"/>
              <w:bottom w:w="60" w:type="dxa"/>
              <w:right w:w="110" w:type="dxa"/>
            </w:tcMar>
            <w:vAlign w:val="top"/>
          </w:tcPr>
          <w:p>
            <w:pPr>
              <w:spacing w:after="20"/>
            </w:pPr>
            <w:r>
              <w:rPr>
                <w:sz w:val="18"/>
              </w:rPr>
              <w:t>NBFC default portfolios</w:t>
            </w:r>
          </w:p>
        </w:tc>
      </w:tr>
      <w:tr>
        <w:tc>
          <w:tcPr>
            <w:tcW w:type="dxa" w:w="2160"/>
            <w:tcMar>
              <w:top w:w="60" w:type="dxa"/>
              <w:left w:w="110" w:type="dxa"/>
              <w:bottom w:w="60" w:type="dxa"/>
              <w:right w:w="110" w:type="dxa"/>
            </w:tcMar>
            <w:vAlign w:val="top"/>
          </w:tcPr>
          <w:p>
            <w:pPr>
              <w:spacing w:after="20"/>
            </w:pPr>
            <w:r>
              <w:rPr>
                <w:b/>
                <w:sz w:val="18"/>
              </w:rPr>
              <w:t>SSO</w:t>
            </w:r>
          </w:p>
        </w:tc>
        <w:tc>
          <w:tcPr>
            <w:tcW w:type="dxa" w:w="4320"/>
            <w:tcMar>
              <w:top w:w="60" w:type="dxa"/>
              <w:left w:w="110" w:type="dxa"/>
              <w:bottom w:w="60" w:type="dxa"/>
              <w:right w:w="110" w:type="dxa"/>
            </w:tcMar>
            <w:vAlign w:val="top"/>
          </w:tcPr>
          <w:p>
            <w:pPr>
              <w:spacing w:after="20"/>
            </w:pPr>
            <w:r>
              <w:rPr>
                <w:sz w:val="18"/>
              </w:rPr>
              <w:t>Federated login (OIDC/SAML) for parties/officers</w:t>
            </w:r>
          </w:p>
        </w:tc>
        <w:tc>
          <w:tcPr>
            <w:tcW w:type="dxa" w:w="2880"/>
            <w:tcMar>
              <w:top w:w="60" w:type="dxa"/>
              <w:left w:w="110" w:type="dxa"/>
              <w:bottom w:w="60" w:type="dxa"/>
              <w:right w:w="110" w:type="dxa"/>
            </w:tcMar>
            <w:vAlign w:val="top"/>
          </w:tcPr>
          <w:p>
            <w:pPr>
              <w:spacing w:after="20"/>
            </w:pPr>
            <w:r>
              <w:rPr>
                <w:sz w:val="18"/>
              </w:rPr>
              <w:t>SCORES/intermediary, enterprise IdP</w:t>
            </w:r>
          </w:p>
        </w:tc>
      </w:tr>
      <w:tr>
        <w:tc>
          <w:tcPr>
            <w:tcW w:type="dxa" w:w="2160"/>
            <w:shd w:val="clear" w:color="auto" w:fill="EAF1F6"/>
            <w:tcMar>
              <w:top w:w="60" w:type="dxa"/>
              <w:left w:w="110" w:type="dxa"/>
              <w:bottom w:w="60" w:type="dxa"/>
              <w:right w:w="110" w:type="dxa"/>
            </w:tcMar>
            <w:vAlign w:val="top"/>
          </w:tcPr>
          <w:p>
            <w:pPr>
              <w:spacing w:after="20"/>
            </w:pPr>
            <w:r>
              <w:rPr>
                <w:b/>
                <w:sz w:val="18"/>
              </w:rPr>
              <w:t>Clause embed</w:t>
            </w:r>
          </w:p>
        </w:tc>
        <w:tc>
          <w:tcPr>
            <w:tcW w:type="dxa" w:w="4320"/>
            <w:shd w:val="clear" w:color="auto" w:fill="EAF1F6"/>
            <w:tcMar>
              <w:top w:w="60" w:type="dxa"/>
              <w:left w:w="110" w:type="dxa"/>
              <w:bottom w:w="60" w:type="dxa"/>
              <w:right w:w="110" w:type="dxa"/>
            </w:tcMar>
            <w:vAlign w:val="top"/>
          </w:tcPr>
          <w:p>
            <w:pPr>
              <w:spacing w:after="20"/>
            </w:pPr>
            <w:r>
              <w:rPr>
                <w:sz w:val="18"/>
              </w:rPr>
              <w:t>Model ODR clause + routing metadata in contracts</w:t>
            </w:r>
          </w:p>
        </w:tc>
        <w:tc>
          <w:tcPr>
            <w:tcW w:type="dxa" w:w="2880"/>
            <w:shd w:val="clear" w:color="auto" w:fill="EAF1F6"/>
            <w:tcMar>
              <w:top w:w="60" w:type="dxa"/>
              <w:left w:w="110" w:type="dxa"/>
              <w:bottom w:w="60" w:type="dxa"/>
              <w:right w:w="110" w:type="dxa"/>
            </w:tcMar>
            <w:vAlign w:val="top"/>
          </w:tcPr>
          <w:p>
            <w:pPr>
              <w:spacing w:after="20"/>
            </w:pPr>
            <w:r>
              <w:rPr>
                <w:sz w:val="18"/>
              </w:rPr>
              <w:t>Any contract-driven dispute</w:t>
            </w:r>
          </w:p>
        </w:tc>
      </w:tr>
    </w:tbl>
    <w:p>
      <w:pPr>
        <w:spacing w:after="40"/>
      </w:pPr>
    </w:p>
    <w:p>
      <w:pPr>
        <w:pStyle w:val="Heading1"/>
      </w:pPr>
      <w:r>
        <w:t>5. The Escalation Contract</w:t>
      </w:r>
    </w:p>
    <w:p>
      <w:pPr>
        <w:spacing w:after="120"/>
      </w:pPr>
      <w:r>
        <w:rPr>
          <w:b w:val="0"/>
        </w:rPr>
        <w:t>Escalation is governed by a hard data contract so hand-offs are consented, minimal and auditable — critical for confidentiality (POSH) and DPDP.</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8"/>
              </w:rPr>
              <w:t>Field</w:t>
            </w:r>
          </w:p>
        </w:tc>
        <w:tc>
          <w:tcPr>
            <w:tcW w:type="dxa" w:w="6624"/>
            <w:shd w:val="clear" w:color="auto" w:fill="0B2E4F"/>
            <w:tcMar>
              <w:top w:w="60" w:type="dxa"/>
              <w:left w:w="110" w:type="dxa"/>
              <w:bottom w:w="60" w:type="dxa"/>
              <w:right w:w="110" w:type="dxa"/>
            </w:tcMar>
            <w:vAlign w:val="center"/>
          </w:tcPr>
          <w:p>
            <w:pPr>
              <w:spacing w:after="20"/>
            </w:pPr>
            <w:r>
              <w:rPr>
                <w:b/>
                <w:color w:val="FFFFFF"/>
                <w:sz w:val="18"/>
              </w:rPr>
              <w:t>Purpose</w:t>
            </w:r>
          </w:p>
        </w:tc>
      </w:tr>
      <w:tr>
        <w:tc>
          <w:tcPr>
            <w:tcW w:type="dxa" w:w="2736"/>
            <w:tcMar>
              <w:top w:w="60" w:type="dxa"/>
              <w:left w:w="110" w:type="dxa"/>
              <w:bottom w:w="60" w:type="dxa"/>
              <w:right w:w="110" w:type="dxa"/>
            </w:tcMar>
            <w:vAlign w:val="top"/>
          </w:tcPr>
          <w:p>
            <w:pPr>
              <w:spacing w:after="20"/>
            </w:pPr>
            <w:r>
              <w:rPr>
                <w:b/>
                <w:sz w:val="18"/>
              </w:rPr>
              <w:t>source_system / ticket_ref</w:t>
            </w:r>
          </w:p>
        </w:tc>
        <w:tc>
          <w:tcPr>
            <w:tcW w:type="dxa" w:w="6624"/>
            <w:tcMar>
              <w:top w:w="60" w:type="dxa"/>
              <w:left w:w="110" w:type="dxa"/>
              <w:bottom w:w="60" w:type="dxa"/>
              <w:right w:w="110" w:type="dxa"/>
            </w:tcMar>
            <w:vAlign w:val="top"/>
          </w:tcPr>
          <w:p>
            <w:pPr>
              <w:spacing w:after="20"/>
            </w:pPr>
            <w:r>
              <w:rPr>
                <w:sz w:val="18"/>
              </w:rPr>
              <w:t>Trace back to the company's ticket</w:t>
            </w:r>
          </w:p>
        </w:tc>
      </w:tr>
      <w:tr>
        <w:tc>
          <w:tcPr>
            <w:tcW w:type="dxa" w:w="2736"/>
            <w:shd w:val="clear" w:color="auto" w:fill="EAF1F6"/>
            <w:tcMar>
              <w:top w:w="60" w:type="dxa"/>
              <w:left w:w="110" w:type="dxa"/>
              <w:bottom w:w="60" w:type="dxa"/>
              <w:right w:w="110" w:type="dxa"/>
            </w:tcMar>
            <w:vAlign w:val="top"/>
          </w:tcPr>
          <w:p>
            <w:pPr>
              <w:spacing w:after="20"/>
            </w:pPr>
            <w:r>
              <w:rPr>
                <w:b/>
                <w:sz w:val="18"/>
              </w:rPr>
              <w:t>party_consent_ref</w:t>
            </w:r>
          </w:p>
        </w:tc>
        <w:tc>
          <w:tcPr>
            <w:tcW w:type="dxa" w:w="6624"/>
            <w:shd w:val="clear" w:color="auto" w:fill="EAF1F6"/>
            <w:tcMar>
              <w:top w:w="60" w:type="dxa"/>
              <w:left w:w="110" w:type="dxa"/>
              <w:bottom w:w="60" w:type="dxa"/>
              <w:right w:w="110" w:type="dxa"/>
            </w:tcMar>
            <w:vAlign w:val="top"/>
          </w:tcPr>
          <w:p>
            <w:pPr>
              <w:spacing w:after="20"/>
            </w:pPr>
            <w:r>
              <w:rPr>
                <w:sz w:val="18"/>
              </w:rPr>
              <w:t>Evidence of the party's consent to escalation &amp; data transfer</w:t>
            </w:r>
          </w:p>
        </w:tc>
      </w:tr>
      <w:tr>
        <w:tc>
          <w:tcPr>
            <w:tcW w:type="dxa" w:w="2736"/>
            <w:tcMar>
              <w:top w:w="60" w:type="dxa"/>
              <w:left w:w="110" w:type="dxa"/>
              <w:bottom w:w="60" w:type="dxa"/>
              <w:right w:w="110" w:type="dxa"/>
            </w:tcMar>
            <w:vAlign w:val="top"/>
          </w:tcPr>
          <w:p>
            <w:pPr>
              <w:spacing w:after="20"/>
            </w:pPr>
            <w:r>
              <w:rPr>
                <w:b/>
                <w:sz w:val="18"/>
              </w:rPr>
              <w:t>dispute_type / pillar</w:t>
            </w:r>
          </w:p>
        </w:tc>
        <w:tc>
          <w:tcPr>
            <w:tcW w:type="dxa" w:w="6624"/>
            <w:tcMar>
              <w:top w:w="60" w:type="dxa"/>
              <w:left w:w="110" w:type="dxa"/>
              <w:bottom w:w="60" w:type="dxa"/>
              <w:right w:w="110" w:type="dxa"/>
            </w:tcMar>
            <w:vAlign w:val="top"/>
          </w:tcPr>
          <w:p>
            <w:pPr>
              <w:spacing w:after="20"/>
            </w:pPr>
            <w:r>
              <w:rPr>
                <w:sz w:val="18"/>
              </w:rPr>
              <w:t>Routes to the correct module and ruleset</w:t>
            </w:r>
          </w:p>
        </w:tc>
      </w:tr>
      <w:tr>
        <w:tc>
          <w:tcPr>
            <w:tcW w:type="dxa" w:w="2736"/>
            <w:shd w:val="clear" w:color="auto" w:fill="EAF1F6"/>
            <w:tcMar>
              <w:top w:w="60" w:type="dxa"/>
              <w:left w:w="110" w:type="dxa"/>
              <w:bottom w:w="60" w:type="dxa"/>
              <w:right w:w="110" w:type="dxa"/>
            </w:tcMar>
            <w:vAlign w:val="top"/>
          </w:tcPr>
          <w:p>
            <w:pPr>
              <w:spacing w:after="20"/>
            </w:pPr>
            <w:r>
              <w:rPr>
                <w:b/>
                <w:sz w:val="18"/>
              </w:rPr>
              <w:t>payload (mapped)</w:t>
            </w:r>
          </w:p>
        </w:tc>
        <w:tc>
          <w:tcPr>
            <w:tcW w:type="dxa" w:w="6624"/>
            <w:shd w:val="clear" w:color="auto" w:fill="EAF1F6"/>
            <w:tcMar>
              <w:top w:w="60" w:type="dxa"/>
              <w:left w:w="110" w:type="dxa"/>
              <w:bottom w:w="60" w:type="dxa"/>
              <w:right w:w="110" w:type="dxa"/>
            </w:tcMar>
            <w:vAlign w:val="top"/>
          </w:tcPr>
          <w:p>
            <w:pPr>
              <w:spacing w:after="20"/>
            </w:pPr>
            <w:r>
              <w:rPr>
                <w:sz w:val="18"/>
              </w:rPr>
              <w:t>Only the fields needed to open the case (data minimisation)</w:t>
            </w:r>
          </w:p>
        </w:tc>
      </w:tr>
      <w:tr>
        <w:tc>
          <w:tcPr>
            <w:tcW w:type="dxa" w:w="2736"/>
            <w:tcMar>
              <w:top w:w="60" w:type="dxa"/>
              <w:left w:w="110" w:type="dxa"/>
              <w:bottom w:w="60" w:type="dxa"/>
              <w:right w:w="110" w:type="dxa"/>
            </w:tcMar>
            <w:vAlign w:val="top"/>
          </w:tcPr>
          <w:p>
            <w:pPr>
              <w:spacing w:after="20"/>
            </w:pPr>
            <w:r>
              <w:rPr>
                <w:b/>
                <w:sz w:val="18"/>
              </w:rPr>
              <w:t>confidentiality_tier</w:t>
            </w:r>
          </w:p>
        </w:tc>
        <w:tc>
          <w:tcPr>
            <w:tcW w:type="dxa" w:w="6624"/>
            <w:tcMar>
              <w:top w:w="60" w:type="dxa"/>
              <w:left w:w="110" w:type="dxa"/>
              <w:bottom w:w="60" w:type="dxa"/>
              <w:right w:w="110" w:type="dxa"/>
            </w:tcMar>
            <w:vAlign w:val="top"/>
          </w:tcPr>
          <w:p>
            <w:pPr>
              <w:spacing w:after="20"/>
            </w:pPr>
            <w:r>
              <w:rPr>
                <w:sz w:val="18"/>
              </w:rPr>
              <w:t>Carried through (e.g., POSH highest)</w:t>
            </w:r>
          </w:p>
        </w:tc>
      </w:tr>
      <w:tr>
        <w:tc>
          <w:tcPr>
            <w:tcW w:type="dxa" w:w="2736"/>
            <w:shd w:val="clear" w:color="auto" w:fill="EAF1F6"/>
            <w:tcMar>
              <w:top w:w="60" w:type="dxa"/>
              <w:left w:w="110" w:type="dxa"/>
              <w:bottom w:w="60" w:type="dxa"/>
              <w:right w:w="110" w:type="dxa"/>
            </w:tcMar>
            <w:vAlign w:val="top"/>
          </w:tcPr>
          <w:p>
            <w:pPr>
              <w:spacing w:after="20"/>
            </w:pPr>
            <w:r>
              <w:rPr>
                <w:b/>
                <w:sz w:val="18"/>
              </w:rPr>
              <w:t>sla / clock</w:t>
            </w:r>
          </w:p>
        </w:tc>
        <w:tc>
          <w:tcPr>
            <w:tcW w:type="dxa" w:w="6624"/>
            <w:shd w:val="clear" w:color="auto" w:fill="EAF1F6"/>
            <w:tcMar>
              <w:top w:w="60" w:type="dxa"/>
              <w:left w:w="110" w:type="dxa"/>
              <w:bottom w:w="60" w:type="dxa"/>
              <w:right w:w="110" w:type="dxa"/>
            </w:tcMar>
            <w:vAlign w:val="top"/>
          </w:tcPr>
          <w:p>
            <w:pPr>
              <w:spacing w:after="20"/>
            </w:pPr>
            <w:r>
              <w:rPr>
                <w:sz w:val="18"/>
              </w:rPr>
              <w:t>Inherited SLA and statutory clock</w:t>
            </w:r>
          </w:p>
        </w:tc>
      </w:tr>
      <w:tr>
        <w:tc>
          <w:tcPr>
            <w:tcW w:type="dxa" w:w="2736"/>
            <w:tcMar>
              <w:top w:w="60" w:type="dxa"/>
              <w:left w:w="110" w:type="dxa"/>
              <w:bottom w:w="60" w:type="dxa"/>
              <w:right w:w="110" w:type="dxa"/>
            </w:tcMar>
            <w:vAlign w:val="top"/>
          </w:tcPr>
          <w:p>
            <w:pPr>
              <w:spacing w:after="20"/>
            </w:pPr>
            <w:r>
              <w:rPr>
                <w:b/>
                <w:sz w:val="18"/>
              </w:rPr>
              <w:t>callback / webhook</w:t>
            </w:r>
          </w:p>
        </w:tc>
        <w:tc>
          <w:tcPr>
            <w:tcW w:type="dxa" w:w="6624"/>
            <w:tcMar>
              <w:top w:w="60" w:type="dxa"/>
              <w:left w:w="110" w:type="dxa"/>
              <w:bottom w:w="60" w:type="dxa"/>
              <w:right w:w="110" w:type="dxa"/>
            </w:tcMar>
            <w:vAlign w:val="top"/>
          </w:tcPr>
          <w:p>
            <w:pPr>
              <w:spacing w:after="20"/>
            </w:pPr>
            <w:r>
              <w:rPr>
                <w:sz w:val="18"/>
              </w:rPr>
              <w:t>Where to sync status and outcome back</w:t>
            </w:r>
          </w:p>
        </w:tc>
      </w:tr>
    </w:tbl>
    <w:p>
      <w:pPr>
        <w:spacing w:after="40"/>
      </w:pPr>
    </w:p>
    <w:p>
      <w:pPr>
        <w:pStyle w:val="Heading1"/>
      </w:pPr>
      <w:r>
        <w:t>6. Offered APIs (Equator's own surface)</w:t>
      </w:r>
    </w:p>
    <w:p>
      <w:pPr>
        <w:spacing w:after="120"/>
      </w:pPr>
      <w:r>
        <w:rPr>
          <w:b w:val="0"/>
        </w:rPr>
        <w:t>Equator is API-first: every capability is available as a documented API. The offered surface (full spec in the OpenAPI document) includes: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016"/>
            <w:shd w:val="clear" w:color="auto" w:fill="0B2E4F"/>
            <w:tcMar>
              <w:top w:w="60" w:type="dxa"/>
              <w:left w:w="110" w:type="dxa"/>
              <w:bottom w:w="60" w:type="dxa"/>
              <w:right w:w="110" w:type="dxa"/>
            </w:tcMar>
            <w:vAlign w:val="center"/>
          </w:tcPr>
          <w:p>
            <w:pPr>
              <w:spacing w:after="20"/>
            </w:pPr>
            <w:r>
              <w:rPr>
                <w:b/>
                <w:color w:val="FFFFFF"/>
                <w:sz w:val="17"/>
              </w:rPr>
              <w:t>API group</w:t>
            </w:r>
          </w:p>
        </w:tc>
        <w:tc>
          <w:tcPr>
            <w:tcW w:type="dxa" w:w="7344"/>
            <w:shd w:val="clear" w:color="auto" w:fill="0B2E4F"/>
            <w:tcMar>
              <w:top w:w="60" w:type="dxa"/>
              <w:left w:w="110" w:type="dxa"/>
              <w:bottom w:w="60" w:type="dxa"/>
              <w:right w:w="110" w:type="dxa"/>
            </w:tcMar>
            <w:vAlign w:val="center"/>
          </w:tcPr>
          <w:p>
            <w:pPr>
              <w:spacing w:after="20"/>
            </w:pPr>
            <w:r>
              <w:rPr>
                <w:b/>
                <w:color w:val="FFFFFF"/>
                <w:sz w:val="17"/>
              </w:rPr>
              <w:t>Representative endpoints</w:t>
            </w:r>
          </w:p>
        </w:tc>
      </w:tr>
      <w:tr>
        <w:tc>
          <w:tcPr>
            <w:tcW w:type="dxa" w:w="2016"/>
            <w:tcMar>
              <w:top w:w="60" w:type="dxa"/>
              <w:left w:w="110" w:type="dxa"/>
              <w:bottom w:w="60" w:type="dxa"/>
              <w:right w:w="110" w:type="dxa"/>
            </w:tcMar>
            <w:vAlign w:val="top"/>
          </w:tcPr>
          <w:p>
            <w:pPr>
              <w:spacing w:after="20"/>
            </w:pPr>
            <w:r>
              <w:rPr>
                <w:b/>
                <w:sz w:val="17"/>
              </w:rPr>
              <w:t>Cases</w:t>
            </w:r>
          </w:p>
        </w:tc>
        <w:tc>
          <w:tcPr>
            <w:tcW w:type="dxa" w:w="7344"/>
            <w:tcMar>
              <w:top w:w="60" w:type="dxa"/>
              <w:left w:w="110" w:type="dxa"/>
              <w:bottom w:w="60" w:type="dxa"/>
              <w:right w:w="110" w:type="dxa"/>
            </w:tcMar>
            <w:vAlign w:val="top"/>
          </w:tcPr>
          <w:p>
            <w:pPr>
              <w:spacing w:after="20"/>
            </w:pPr>
            <w:r>
              <w:rPr>
                <w:sz w:val="17"/>
              </w:rPr>
              <w:t>POST /cases, GET /cases/{id}, POST /cases/{id}/responses, GET /cases/{id}/status</w:t>
            </w:r>
          </w:p>
        </w:tc>
      </w:tr>
      <w:tr>
        <w:tc>
          <w:tcPr>
            <w:tcW w:type="dxa" w:w="2016"/>
            <w:shd w:val="clear" w:color="auto" w:fill="EAF1F6"/>
            <w:tcMar>
              <w:top w:w="60" w:type="dxa"/>
              <w:left w:w="110" w:type="dxa"/>
              <w:bottom w:w="60" w:type="dxa"/>
              <w:right w:w="110" w:type="dxa"/>
            </w:tcMar>
            <w:vAlign w:val="top"/>
          </w:tcPr>
          <w:p>
            <w:pPr>
              <w:spacing w:after="20"/>
            </w:pPr>
            <w:r>
              <w:rPr>
                <w:b/>
                <w:sz w:val="17"/>
              </w:rPr>
              <w:t>Escalation</w:t>
            </w:r>
          </w:p>
        </w:tc>
        <w:tc>
          <w:tcPr>
            <w:tcW w:type="dxa" w:w="7344"/>
            <w:shd w:val="clear" w:color="auto" w:fill="EAF1F6"/>
            <w:tcMar>
              <w:top w:w="60" w:type="dxa"/>
              <w:left w:w="110" w:type="dxa"/>
              <w:bottom w:w="60" w:type="dxa"/>
              <w:right w:w="110" w:type="dxa"/>
            </w:tcMar>
            <w:vAlign w:val="top"/>
          </w:tcPr>
          <w:p>
            <w:pPr>
              <w:spacing w:after="20"/>
            </w:pPr>
            <w:r>
              <w:rPr>
                <w:sz w:val="17"/>
              </w:rPr>
              <w:t>POST /escalations (from a ticket), GET /escalations/{id}</w:t>
            </w:r>
          </w:p>
        </w:tc>
      </w:tr>
      <w:tr>
        <w:tc>
          <w:tcPr>
            <w:tcW w:type="dxa" w:w="2016"/>
            <w:tcMar>
              <w:top w:w="60" w:type="dxa"/>
              <w:left w:w="110" w:type="dxa"/>
              <w:bottom w:w="60" w:type="dxa"/>
              <w:right w:w="110" w:type="dxa"/>
            </w:tcMar>
            <w:vAlign w:val="top"/>
          </w:tcPr>
          <w:p>
            <w:pPr>
              <w:spacing w:after="20"/>
            </w:pPr>
            <w:r>
              <w:rPr>
                <w:b/>
                <w:sz w:val="17"/>
              </w:rPr>
              <w:t>Parties</w:t>
            </w:r>
          </w:p>
        </w:tc>
        <w:tc>
          <w:tcPr>
            <w:tcW w:type="dxa" w:w="7344"/>
            <w:tcMar>
              <w:top w:w="60" w:type="dxa"/>
              <w:left w:w="110" w:type="dxa"/>
              <w:bottom w:w="60" w:type="dxa"/>
              <w:right w:w="110" w:type="dxa"/>
            </w:tcMar>
            <w:vAlign w:val="top"/>
          </w:tcPr>
          <w:p>
            <w:pPr>
              <w:spacing w:after="20"/>
            </w:pPr>
            <w:r>
              <w:rPr>
                <w:sz w:val="17"/>
              </w:rPr>
              <w:t>POST /parties, POST /entities, POST /parties/{id}/kyc</w:t>
            </w:r>
          </w:p>
        </w:tc>
      </w:tr>
      <w:tr>
        <w:tc>
          <w:tcPr>
            <w:tcW w:type="dxa" w:w="2016"/>
            <w:shd w:val="clear" w:color="auto" w:fill="EAF1F6"/>
            <w:tcMar>
              <w:top w:w="60" w:type="dxa"/>
              <w:left w:w="110" w:type="dxa"/>
              <w:bottom w:w="60" w:type="dxa"/>
              <w:right w:w="110" w:type="dxa"/>
            </w:tcMar>
            <w:vAlign w:val="top"/>
          </w:tcPr>
          <w:p>
            <w:pPr>
              <w:spacing w:after="20"/>
            </w:pPr>
            <w:r>
              <w:rPr>
                <w:b/>
                <w:sz w:val="17"/>
              </w:rPr>
              <w:t>Documents</w:t>
            </w:r>
          </w:p>
        </w:tc>
        <w:tc>
          <w:tcPr>
            <w:tcW w:type="dxa" w:w="7344"/>
            <w:shd w:val="clear" w:color="auto" w:fill="EAF1F6"/>
            <w:tcMar>
              <w:top w:w="60" w:type="dxa"/>
              <w:left w:w="110" w:type="dxa"/>
              <w:bottom w:w="60" w:type="dxa"/>
              <w:right w:w="110" w:type="dxa"/>
            </w:tcMar>
            <w:vAlign w:val="top"/>
          </w:tcPr>
          <w:p>
            <w:pPr>
              <w:spacing w:after="20"/>
            </w:pPr>
            <w:r>
              <w:rPr>
                <w:sz w:val="17"/>
              </w:rPr>
              <w:t>POST /cases/{id}/documents, GET /documents/{id} (hashed)</w:t>
            </w:r>
          </w:p>
        </w:tc>
      </w:tr>
      <w:tr>
        <w:tc>
          <w:tcPr>
            <w:tcW w:type="dxa" w:w="2016"/>
            <w:tcMar>
              <w:top w:w="60" w:type="dxa"/>
              <w:left w:w="110" w:type="dxa"/>
              <w:bottom w:w="60" w:type="dxa"/>
              <w:right w:w="110" w:type="dxa"/>
            </w:tcMar>
            <w:vAlign w:val="top"/>
          </w:tcPr>
          <w:p>
            <w:pPr>
              <w:spacing w:after="20"/>
            </w:pPr>
            <w:r>
              <w:rPr>
                <w:b/>
                <w:sz w:val="17"/>
              </w:rPr>
              <w:t>Hearings</w:t>
            </w:r>
          </w:p>
        </w:tc>
        <w:tc>
          <w:tcPr>
            <w:tcW w:type="dxa" w:w="7344"/>
            <w:tcMar>
              <w:top w:w="60" w:type="dxa"/>
              <w:left w:w="110" w:type="dxa"/>
              <w:bottom w:w="60" w:type="dxa"/>
              <w:right w:w="110" w:type="dxa"/>
            </w:tcMar>
            <w:vAlign w:val="top"/>
          </w:tcPr>
          <w:p>
            <w:pPr>
              <w:spacing w:after="20"/>
            </w:pPr>
            <w:r>
              <w:rPr>
                <w:sz w:val="17"/>
              </w:rPr>
              <w:t>GET /cases/{id}/hearings, POST /hearings/{id}/join</w:t>
            </w:r>
          </w:p>
        </w:tc>
      </w:tr>
      <w:tr>
        <w:tc>
          <w:tcPr>
            <w:tcW w:type="dxa" w:w="2016"/>
            <w:shd w:val="clear" w:color="auto" w:fill="EAF1F6"/>
            <w:tcMar>
              <w:top w:w="60" w:type="dxa"/>
              <w:left w:w="110" w:type="dxa"/>
              <w:bottom w:w="60" w:type="dxa"/>
              <w:right w:w="110" w:type="dxa"/>
            </w:tcMar>
            <w:vAlign w:val="top"/>
          </w:tcPr>
          <w:p>
            <w:pPr>
              <w:spacing w:after="20"/>
            </w:pPr>
            <w:r>
              <w:rPr>
                <w:b/>
                <w:sz w:val="17"/>
              </w:rPr>
              <w:t>Outcomes</w:t>
            </w:r>
          </w:p>
        </w:tc>
        <w:tc>
          <w:tcPr>
            <w:tcW w:type="dxa" w:w="7344"/>
            <w:shd w:val="clear" w:color="auto" w:fill="EAF1F6"/>
            <w:tcMar>
              <w:top w:w="60" w:type="dxa"/>
              <w:left w:w="110" w:type="dxa"/>
              <w:bottom w:w="60" w:type="dxa"/>
              <w:right w:w="110" w:type="dxa"/>
            </w:tcMar>
            <w:vAlign w:val="top"/>
          </w:tcPr>
          <w:p>
            <w:pPr>
              <w:spacing w:after="20"/>
            </w:pPr>
            <w:r>
              <w:rPr>
                <w:sz w:val="17"/>
              </w:rPr>
              <w:t>GET /cases/{id}/settlement, GET /cases/{id}/award, GET /cases/{id}/execution-bundle</w:t>
            </w:r>
          </w:p>
        </w:tc>
      </w:tr>
      <w:tr>
        <w:tc>
          <w:tcPr>
            <w:tcW w:type="dxa" w:w="2016"/>
            <w:tcMar>
              <w:top w:w="60" w:type="dxa"/>
              <w:left w:w="110" w:type="dxa"/>
              <w:bottom w:w="60" w:type="dxa"/>
              <w:right w:w="110" w:type="dxa"/>
            </w:tcMar>
            <w:vAlign w:val="top"/>
          </w:tcPr>
          <w:p>
            <w:pPr>
              <w:spacing w:after="20"/>
            </w:pPr>
            <w:r>
              <w:rPr>
                <w:b/>
                <w:sz w:val="17"/>
              </w:rPr>
              <w:t>Payments</w:t>
            </w:r>
          </w:p>
        </w:tc>
        <w:tc>
          <w:tcPr>
            <w:tcW w:type="dxa" w:w="7344"/>
            <w:tcMar>
              <w:top w:w="60" w:type="dxa"/>
              <w:left w:w="110" w:type="dxa"/>
              <w:bottom w:w="60" w:type="dxa"/>
              <w:right w:w="110" w:type="dxa"/>
            </w:tcMar>
            <w:vAlign w:val="top"/>
          </w:tcPr>
          <w:p>
            <w:pPr>
              <w:spacing w:after="20"/>
            </w:pPr>
            <w:r>
              <w:rPr>
                <w:sz w:val="17"/>
              </w:rPr>
              <w:t>POST /invoices, POST /payments, GET /payouts/{id}</w:t>
            </w:r>
          </w:p>
        </w:tc>
      </w:tr>
      <w:tr>
        <w:tc>
          <w:tcPr>
            <w:tcW w:type="dxa" w:w="2016"/>
            <w:shd w:val="clear" w:color="auto" w:fill="EAF1F6"/>
            <w:tcMar>
              <w:top w:w="60" w:type="dxa"/>
              <w:left w:w="110" w:type="dxa"/>
              <w:bottom w:w="60" w:type="dxa"/>
              <w:right w:w="110" w:type="dxa"/>
            </w:tcMar>
            <w:vAlign w:val="top"/>
          </w:tcPr>
          <w:p>
            <w:pPr>
              <w:spacing w:after="20"/>
            </w:pPr>
            <w:r>
              <w:rPr>
                <w:b/>
                <w:sz w:val="17"/>
              </w:rPr>
              <w:t>Dispute Explorer</w:t>
            </w:r>
          </w:p>
        </w:tc>
        <w:tc>
          <w:tcPr>
            <w:tcW w:type="dxa" w:w="7344"/>
            <w:shd w:val="clear" w:color="auto" w:fill="EAF1F6"/>
            <w:tcMar>
              <w:top w:w="60" w:type="dxa"/>
              <w:left w:w="110" w:type="dxa"/>
              <w:bottom w:w="60" w:type="dxa"/>
              <w:right w:w="110" w:type="dxa"/>
            </w:tcMar>
            <w:vAlign w:val="top"/>
          </w:tcPr>
          <w:p>
            <w:pPr>
              <w:spacing w:after="20"/>
            </w:pPr>
            <w:r>
              <w:rPr>
                <w:sz w:val="17"/>
              </w:rPr>
              <w:t>POST /explorer/sessions, GET /explorer/sessions/{id}</w:t>
            </w:r>
          </w:p>
        </w:tc>
      </w:tr>
      <w:tr>
        <w:tc>
          <w:tcPr>
            <w:tcW w:type="dxa" w:w="2016"/>
            <w:tcMar>
              <w:top w:w="60" w:type="dxa"/>
              <w:left w:w="110" w:type="dxa"/>
              <w:bottom w:w="60" w:type="dxa"/>
              <w:right w:w="110" w:type="dxa"/>
            </w:tcMar>
            <w:vAlign w:val="top"/>
          </w:tcPr>
          <w:p>
            <w:pPr>
              <w:spacing w:after="20"/>
            </w:pPr>
            <w:r>
              <w:rPr>
                <w:b/>
                <w:sz w:val="17"/>
              </w:rPr>
              <w:t>Webhooks</w:t>
            </w:r>
          </w:p>
        </w:tc>
        <w:tc>
          <w:tcPr>
            <w:tcW w:type="dxa" w:w="7344"/>
            <w:tcMar>
              <w:top w:w="60" w:type="dxa"/>
              <w:left w:w="110" w:type="dxa"/>
              <w:bottom w:w="60" w:type="dxa"/>
              <w:right w:w="110" w:type="dxa"/>
            </w:tcMar>
            <w:vAlign w:val="top"/>
          </w:tcPr>
          <w:p>
            <w:pPr>
              <w:spacing w:after="20"/>
            </w:pPr>
            <w:r>
              <w:rPr>
                <w:sz w:val="17"/>
              </w:rPr>
              <w:t>case.filed, neutral.appointed, hearing.scheduled, award.signed, settlement.paid, case.closed</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r>
              <w:rPr>
                <w:b/>
                <w:color w:val="0B2E4F"/>
                <w:sz w:val="19"/>
              </w:rPr>
              <w:t xml:space="preserve">Own APIs + integration options.  </w:t>
            </w:r>
            <w:r>
              <w:rPr>
                <w:color w:val="1A1A1A"/>
                <w:sz w:val="19"/>
              </w:rPr>
              <w:t>The platform both offers its own APIs and consumes third-party APIs, so partners can push disputes in and pull outcomes out, and Equator can plug into the rails it needs. Versioned, documented and sandboxed.</w:t>
            </w:r>
          </w:p>
        </w:tc>
      </w:tr>
    </w:tbl>
    <w:p>
      <w:pPr>
        <w:spacing w:after="40"/>
      </w:pPr>
    </w:p>
    <w:p>
      <w:pPr>
        <w:pStyle w:val="Heading1"/>
      </w:pPr>
      <w:r>
        <w:t>7. Consumed APIs (third-party)</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3312"/>
            <w:shd w:val="clear" w:color="auto" w:fill="0B2E4F"/>
            <w:tcMar>
              <w:top w:w="60" w:type="dxa"/>
              <w:left w:w="110" w:type="dxa"/>
              <w:bottom w:w="60" w:type="dxa"/>
              <w:right w:w="110" w:type="dxa"/>
            </w:tcMar>
            <w:vAlign w:val="center"/>
          </w:tcPr>
          <w:p>
            <w:pPr>
              <w:spacing w:after="20"/>
            </w:pPr>
            <w:r>
              <w:rPr>
                <w:b/>
                <w:color w:val="FFFFFF"/>
                <w:sz w:val="17"/>
              </w:rPr>
              <w:t>Provider</w:t>
            </w:r>
          </w:p>
        </w:tc>
        <w:tc>
          <w:tcPr>
            <w:tcW w:type="dxa" w:w="6048"/>
            <w:shd w:val="clear" w:color="auto" w:fill="0B2E4F"/>
            <w:tcMar>
              <w:top w:w="60" w:type="dxa"/>
              <w:left w:w="110" w:type="dxa"/>
              <w:bottom w:w="60" w:type="dxa"/>
              <w:right w:w="110" w:type="dxa"/>
            </w:tcMar>
            <w:vAlign w:val="center"/>
          </w:tcPr>
          <w:p>
            <w:pPr>
              <w:spacing w:after="20"/>
            </w:pPr>
            <w:r>
              <w:rPr>
                <w:b/>
                <w:color w:val="FFFFFF"/>
                <w:sz w:val="17"/>
              </w:rPr>
              <w:t>Purpose</w:t>
            </w:r>
          </w:p>
        </w:tc>
      </w:tr>
      <w:tr>
        <w:tc>
          <w:tcPr>
            <w:tcW w:type="dxa" w:w="3312"/>
            <w:tcMar>
              <w:top w:w="60" w:type="dxa"/>
              <w:left w:w="110" w:type="dxa"/>
              <w:bottom w:w="60" w:type="dxa"/>
              <w:right w:w="110" w:type="dxa"/>
            </w:tcMar>
            <w:vAlign w:val="top"/>
          </w:tcPr>
          <w:p>
            <w:pPr>
              <w:spacing w:after="20"/>
            </w:pPr>
            <w:r>
              <w:rPr>
                <w:b/>
                <w:sz w:val="17"/>
              </w:rPr>
              <w:t>Razorpay (Payments, Route, Escrow, Payouts)</w:t>
            </w:r>
          </w:p>
        </w:tc>
        <w:tc>
          <w:tcPr>
            <w:tcW w:type="dxa" w:w="6048"/>
            <w:tcMar>
              <w:top w:w="60" w:type="dxa"/>
              <w:left w:w="110" w:type="dxa"/>
              <w:bottom w:w="60" w:type="dxa"/>
              <w:right w:w="110" w:type="dxa"/>
            </w:tcMar>
            <w:vAlign w:val="top"/>
          </w:tcPr>
          <w:p>
            <w:pPr>
              <w:spacing w:after="20"/>
            </w:pPr>
            <w:r>
              <w:rPr>
                <w:sz w:val="17"/>
              </w:rPr>
              <w:t>India payments, split settlement, escrow, neutral payouts</w:t>
            </w:r>
          </w:p>
        </w:tc>
      </w:tr>
      <w:tr>
        <w:tc>
          <w:tcPr>
            <w:tcW w:type="dxa" w:w="3312"/>
            <w:shd w:val="clear" w:color="auto" w:fill="EAF1F6"/>
            <w:tcMar>
              <w:top w:w="60" w:type="dxa"/>
              <w:left w:w="110" w:type="dxa"/>
              <w:bottom w:w="60" w:type="dxa"/>
              <w:right w:w="110" w:type="dxa"/>
            </w:tcMar>
            <w:vAlign w:val="top"/>
          </w:tcPr>
          <w:p>
            <w:pPr>
              <w:spacing w:after="20"/>
            </w:pPr>
            <w:r>
              <w:rPr>
                <w:b/>
                <w:sz w:val="17"/>
              </w:rPr>
              <w:t>PayPal (Checkout, Payouts)</w:t>
            </w:r>
          </w:p>
        </w:tc>
        <w:tc>
          <w:tcPr>
            <w:tcW w:type="dxa" w:w="6048"/>
            <w:shd w:val="clear" w:color="auto" w:fill="EAF1F6"/>
            <w:tcMar>
              <w:top w:w="60" w:type="dxa"/>
              <w:left w:w="110" w:type="dxa"/>
              <w:bottom w:w="60" w:type="dxa"/>
              <w:right w:w="110" w:type="dxa"/>
            </w:tcMar>
            <w:vAlign w:val="top"/>
          </w:tcPr>
          <w:p>
            <w:pPr>
              <w:spacing w:after="20"/>
            </w:pPr>
            <w:r>
              <w:rPr>
                <w:sz w:val="17"/>
              </w:rPr>
              <w:t>International payments and payouts</w:t>
            </w:r>
          </w:p>
        </w:tc>
      </w:tr>
      <w:tr>
        <w:tc>
          <w:tcPr>
            <w:tcW w:type="dxa" w:w="3312"/>
            <w:tcMar>
              <w:top w:w="60" w:type="dxa"/>
              <w:left w:w="110" w:type="dxa"/>
              <w:bottom w:w="60" w:type="dxa"/>
              <w:right w:w="110" w:type="dxa"/>
            </w:tcMar>
            <w:vAlign w:val="top"/>
          </w:tcPr>
          <w:p>
            <w:pPr>
              <w:spacing w:after="20"/>
            </w:pPr>
            <w:r>
              <w:rPr>
                <w:b/>
                <w:sz w:val="17"/>
              </w:rPr>
              <w:t>Aadhaar eSign / DSC / NeSL DDE</w:t>
            </w:r>
          </w:p>
        </w:tc>
        <w:tc>
          <w:tcPr>
            <w:tcW w:type="dxa" w:w="6048"/>
            <w:tcMar>
              <w:top w:w="60" w:type="dxa"/>
              <w:left w:w="110" w:type="dxa"/>
              <w:bottom w:w="60" w:type="dxa"/>
              <w:right w:w="110" w:type="dxa"/>
            </w:tcMar>
            <w:vAlign w:val="top"/>
          </w:tcPr>
          <w:p>
            <w:pPr>
              <w:spacing w:after="20"/>
            </w:pPr>
            <w:r>
              <w:rPr>
                <w:sz w:val="17"/>
              </w:rPr>
              <w:t>e-sign and combined e-stamp+e-sign execution</w:t>
            </w:r>
          </w:p>
        </w:tc>
      </w:tr>
      <w:tr>
        <w:tc>
          <w:tcPr>
            <w:tcW w:type="dxa" w:w="3312"/>
            <w:shd w:val="clear" w:color="auto" w:fill="EAF1F6"/>
            <w:tcMar>
              <w:top w:w="60" w:type="dxa"/>
              <w:left w:w="110" w:type="dxa"/>
              <w:bottom w:w="60" w:type="dxa"/>
              <w:right w:w="110" w:type="dxa"/>
            </w:tcMar>
            <w:vAlign w:val="top"/>
          </w:tcPr>
          <w:p>
            <w:pPr>
              <w:spacing w:after="20"/>
            </w:pPr>
            <w:r>
              <w:rPr>
                <w:b/>
                <w:sz w:val="17"/>
              </w:rPr>
              <w:t>SHCIL e-Stamp</w:t>
            </w:r>
          </w:p>
        </w:tc>
        <w:tc>
          <w:tcPr>
            <w:tcW w:type="dxa" w:w="6048"/>
            <w:shd w:val="clear" w:color="auto" w:fill="EAF1F6"/>
            <w:tcMar>
              <w:top w:w="60" w:type="dxa"/>
              <w:left w:w="110" w:type="dxa"/>
              <w:bottom w:w="60" w:type="dxa"/>
              <w:right w:w="110" w:type="dxa"/>
            </w:tcMar>
            <w:vAlign w:val="top"/>
          </w:tcPr>
          <w:p>
            <w:pPr>
              <w:spacing w:after="20"/>
            </w:pPr>
            <w:r>
              <w:rPr>
                <w:sz w:val="17"/>
              </w:rPr>
              <w:t>Stamp duty on settlements/awards</w:t>
            </w:r>
          </w:p>
        </w:tc>
      </w:tr>
      <w:tr>
        <w:tc>
          <w:tcPr>
            <w:tcW w:type="dxa" w:w="3312"/>
            <w:tcMar>
              <w:top w:w="60" w:type="dxa"/>
              <w:left w:w="110" w:type="dxa"/>
              <w:bottom w:w="60" w:type="dxa"/>
              <w:right w:w="110" w:type="dxa"/>
            </w:tcMar>
            <w:vAlign w:val="top"/>
          </w:tcPr>
          <w:p>
            <w:pPr>
              <w:spacing w:after="20"/>
            </w:pPr>
            <w:r>
              <w:rPr>
                <w:b/>
                <w:sz w:val="17"/>
              </w:rPr>
              <w:t>Claude API</w:t>
            </w:r>
          </w:p>
        </w:tc>
        <w:tc>
          <w:tcPr>
            <w:tcW w:type="dxa" w:w="6048"/>
            <w:tcMar>
              <w:top w:w="60" w:type="dxa"/>
              <w:left w:w="110" w:type="dxa"/>
              <w:bottom w:w="60" w:type="dxa"/>
              <w:right w:w="110" w:type="dxa"/>
            </w:tcMar>
            <w:vAlign w:val="top"/>
          </w:tcPr>
          <w:p>
            <w:pPr>
              <w:spacing w:after="20"/>
            </w:pPr>
            <w:r>
              <w:rPr>
                <w:sz w:val="17"/>
              </w:rPr>
              <w:t>Dispute Explorer, summarisation, drafting assistance (EQR-07)</w:t>
            </w:r>
          </w:p>
        </w:tc>
      </w:tr>
      <w:tr>
        <w:tc>
          <w:tcPr>
            <w:tcW w:type="dxa" w:w="3312"/>
            <w:shd w:val="clear" w:color="auto" w:fill="EAF1F6"/>
            <w:tcMar>
              <w:top w:w="60" w:type="dxa"/>
              <w:left w:w="110" w:type="dxa"/>
              <w:bottom w:w="60" w:type="dxa"/>
              <w:right w:w="110" w:type="dxa"/>
            </w:tcMar>
            <w:vAlign w:val="top"/>
          </w:tcPr>
          <w:p>
            <w:pPr>
              <w:spacing w:after="20"/>
            </w:pPr>
            <w:r>
              <w:rPr>
                <w:b/>
                <w:sz w:val="17"/>
              </w:rPr>
              <w:t>Video conferencing bridge</w:t>
            </w:r>
          </w:p>
        </w:tc>
        <w:tc>
          <w:tcPr>
            <w:tcW w:type="dxa" w:w="6048"/>
            <w:shd w:val="clear" w:color="auto" w:fill="EAF1F6"/>
            <w:tcMar>
              <w:top w:w="60" w:type="dxa"/>
              <w:left w:w="110" w:type="dxa"/>
              <w:bottom w:w="60" w:type="dxa"/>
              <w:right w:w="110" w:type="dxa"/>
            </w:tcMar>
            <w:vAlign w:val="top"/>
          </w:tcPr>
          <w:p>
            <w:pPr>
              <w:spacing w:after="20"/>
            </w:pPr>
            <w:r>
              <w:rPr>
                <w:sz w:val="17"/>
              </w:rPr>
              <w:t>Hearings and caucus</w:t>
            </w:r>
          </w:p>
        </w:tc>
      </w:tr>
      <w:tr>
        <w:tc>
          <w:tcPr>
            <w:tcW w:type="dxa" w:w="3312"/>
            <w:tcMar>
              <w:top w:w="60" w:type="dxa"/>
              <w:left w:w="110" w:type="dxa"/>
              <w:bottom w:w="60" w:type="dxa"/>
              <w:right w:w="110" w:type="dxa"/>
            </w:tcMar>
            <w:vAlign w:val="top"/>
          </w:tcPr>
          <w:p>
            <w:pPr>
              <w:spacing w:after="20"/>
            </w:pPr>
            <w:r>
              <w:rPr>
                <w:b/>
                <w:sz w:val="17"/>
              </w:rPr>
              <w:t>SMS / WhatsApp / email</w:t>
            </w:r>
          </w:p>
        </w:tc>
        <w:tc>
          <w:tcPr>
            <w:tcW w:type="dxa" w:w="6048"/>
            <w:tcMar>
              <w:top w:w="60" w:type="dxa"/>
              <w:left w:w="110" w:type="dxa"/>
              <w:bottom w:w="60" w:type="dxa"/>
              <w:right w:w="110" w:type="dxa"/>
            </w:tcMar>
            <w:vAlign w:val="top"/>
          </w:tcPr>
          <w:p>
            <w:pPr>
              <w:spacing w:after="20"/>
            </w:pPr>
            <w:r>
              <w:rPr>
                <w:sz w:val="17"/>
              </w:rPr>
              <w:t>Notices, reminders, low-bandwidth status</w:t>
            </w:r>
          </w:p>
        </w:tc>
      </w:tr>
      <w:tr>
        <w:tc>
          <w:tcPr>
            <w:tcW w:type="dxa" w:w="3312"/>
            <w:shd w:val="clear" w:color="auto" w:fill="EAF1F6"/>
            <w:tcMar>
              <w:top w:w="60" w:type="dxa"/>
              <w:left w:w="110" w:type="dxa"/>
              <w:bottom w:w="60" w:type="dxa"/>
              <w:right w:w="110" w:type="dxa"/>
            </w:tcMar>
            <w:vAlign w:val="top"/>
          </w:tcPr>
          <w:p>
            <w:pPr>
              <w:spacing w:after="20"/>
            </w:pPr>
            <w:r>
              <w:rPr>
                <w:b/>
                <w:sz w:val="17"/>
              </w:rPr>
              <w:t>Regulator/court rails</w:t>
            </w:r>
          </w:p>
        </w:tc>
        <w:tc>
          <w:tcPr>
            <w:tcW w:type="dxa" w:w="6048"/>
            <w:shd w:val="clear" w:color="auto" w:fill="EAF1F6"/>
            <w:tcMar>
              <w:top w:w="60" w:type="dxa"/>
              <w:left w:w="110" w:type="dxa"/>
              <w:bottom w:w="60" w:type="dxa"/>
              <w:right w:w="110" w:type="dxa"/>
            </w:tcMar>
            <w:vAlign w:val="top"/>
          </w:tcPr>
          <w:p>
            <w:pPr>
              <w:spacing w:after="20"/>
            </w:pPr>
            <w:r>
              <w:rPr>
                <w:sz w:val="17"/>
              </w:rPr>
              <w:t>SCORES/SMART-ODR, RBI CMS, e-Courts/e-Daakhil, MSME Samadhaan, Sahamati</w:t>
            </w:r>
          </w:p>
        </w:tc>
      </w:tr>
    </w:tbl>
    <w:p>
      <w:pPr>
        <w:spacing w:after="40"/>
      </w:pPr>
    </w:p>
    <w:p>
      <w:pPr>
        <w:pStyle w:val="Heading1"/>
      </w:pPr>
      <w:r>
        <w:t>8. Developer Experience</w:t>
      </w:r>
    </w:p>
    <w:p>
      <w:pPr>
        <w:pStyle w:val="ListBullet"/>
      </w:pPr>
      <w:r>
        <w:rPr>
          <w:b/>
        </w:rPr>
        <w:t xml:space="preserve">Keys &amp; environments: </w:t>
      </w:r>
      <w:r>
        <w:t>Per-tenant API keys; sandbox with synthetic data; production promotion.</w:t>
      </w:r>
    </w:p>
    <w:p>
      <w:pPr>
        <w:pStyle w:val="ListBullet"/>
      </w:pPr>
      <w:r>
        <w:rPr>
          <w:b/>
        </w:rPr>
        <w:t xml:space="preserve">Auth: </w:t>
      </w:r>
      <w:r>
        <w:t>OAuth2/OIDC; scoped tokens; mTLS option for bulk lender integrations.</w:t>
      </w:r>
    </w:p>
    <w:p>
      <w:pPr>
        <w:pStyle w:val="ListBullet"/>
      </w:pPr>
      <w:r>
        <w:rPr>
          <w:b/>
        </w:rPr>
        <w:t xml:space="preserve">Webhooks: </w:t>
      </w:r>
      <w:r>
        <w:t>Signed, retried, idempotent; replay endpoint; event catalogue above.</w:t>
      </w:r>
    </w:p>
    <w:p>
      <w:pPr>
        <w:pStyle w:val="ListBullet"/>
      </w:pPr>
      <w:r>
        <w:rPr>
          <w:b/>
        </w:rPr>
        <w:t xml:space="preserve">Quotas &amp; abuse: </w:t>
      </w:r>
      <w:r>
        <w:t>Per-key rate limits and quotas; abuse signals; graceful 429s.</w:t>
      </w:r>
    </w:p>
    <w:p>
      <w:pPr>
        <w:pStyle w:val="ListBullet"/>
      </w:pPr>
      <w:r>
        <w:rPr>
          <w:b/>
        </w:rPr>
        <w:t xml:space="preserve">Docs: </w:t>
      </w:r>
      <w:r>
        <w:t>Browsable API reference + OpenAPI spec; changelog; deprecation policy.</w:t>
      </w:r>
    </w:p>
    <w:p>
      <w:pPr>
        <w:pStyle w:val="Heading1"/>
      </w:pPr>
      <w:r>
        <w:t>9. Security &amp; Data-Sharing on Integration</w:t>
      </w:r>
    </w:p>
    <w:p>
      <w:pPr>
        <w:spacing w:after="120"/>
      </w:pPr>
      <w:r>
        <w:rPr>
          <w:b w:val="0"/>
        </w:rPr>
        <w:t>All integration is DPDP-governed. Escalation transfers only minimised, consented data; confidentiality tiers are preserved end-to-end; POSH/marital data is field-encrypted and never exposed in general dashboards or webhooks. Data-processing terms and, where relevant, sub-processor disclosure are part of the enterprise contract (EQR-14).</w:t>
      </w:r>
    </w:p>
    <w:p>
      <w:pPr>
        <w:spacing w:after="120"/>
      </w:pPr>
      <w:r>
        <w:rPr>
          <w:b w:val="0"/>
          <w:color w:val="5A6B7B"/>
          <w:sz w:val="18"/>
        </w:rPr>
        <w:t>End of EQR-06 v2.0.</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C9D3DC"/>
      </w:pBdr>
      <w:tabs>
        <w:tab w:pos="9360" w:val="right"/>
      </w:tabs>
    </w:pPr>
    <w:r/>
    <w:r>
      <w:rPr>
        <w:color w:val="5A6B7B"/>
        <w:sz w:val="16"/>
      </w:rPr>
      <w:t xml:space="preserve">Confidential — © 2026 Equator Resolution (Infrabyx Consultancy (OPC) Pvt. Ltd.)   </w:t>
    </w:r>
    <w:r>
      <w:rPr>
        <w:color w:val="5A6B7B"/>
        <w:sz w:val="16"/>
      </w:rPr>
      <w:tab/>
      <w:t xml:space="preserve">Page </w:t>
    </w:r>
    <w:r>
      <w:rPr>
        <w:color w:val="5A6B7B"/>
        <w:sz w:val="16"/>
      </w:rPr>
      <w:fldChar w:fldCharType="begin"/>
      <w:instrText xml:space="preserve">PAGE</w:instrText>
      <w:fldChar w:fldCharType="end"/>
    </w:r>
    <w:r>
      <w:rPr>
        <w:color w:val="5A6B7B"/>
        <w:sz w:val="16"/>
      </w:rPr>
      <w:t xml:space="preserve"> of </w:t>
    </w:r>
    <w:r>
      <w:rPr>
        <w:color w:val="5A6B7B"/>
        <w:sz w:val="16"/>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C9D3DC"/>
      </w:pBdr>
      <w:jc w:val="left"/>
    </w:pPr>
    <w:r/>
    <w:r>
      <w:rPr>
        <w:rFonts w:ascii="Arial" w:hAnsi="Arial"/>
        <w:color w:val="5A6B7B"/>
        <w:sz w:val="16"/>
      </w:rPr>
      <w:t>EQUATOR RESOLUTION  ·  EQR-06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B2E4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1F7A8C"/>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Arial" w:hAnsi="Arial"/>
      <w:b/>
      <w:bCs/>
      <w:i/>
      <w:iCs/>
      <w:color w:val="5A6B7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0B2E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