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B · ARCHITECTURE &amp; BUILD</w:t>
      </w:r>
    </w:p>
    <w:p>
      <w:pPr>
        <w:pStyle w:val="Title"/>
        <w:pBdr>
          <w:bottom w:val="single" w:sz="20" w:space="6" w:color="B98A2E"/>
        </w:pBdr>
      </w:pPr>
      <w:r>
        <w:t>Dispute Explorer (AI) Specification</w:t>
      </w:r>
    </w:p>
    <w:p>
      <w:pPr>
        <w:spacing w:after="280"/>
      </w:pPr>
      <w:r>
        <w:rPr>
          <w:i/>
          <w:color w:val="5A6B7B"/>
          <w:sz w:val="25"/>
        </w:rPr>
        <w:t>The AI-assisted, pre-litigation consultation that lets a party understand the viability and feasibility of their claim before committing — a digital pre-litigation call, powered by the Claude API, that saves time and energy.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EQR-07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Dispute Explorer (AI) Specification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2.0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8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for build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Head of AI / Product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AI model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Anthropic Claude API via a governed AI-gateway service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EQR-01 §10 (AI) · EQR-14 (privacy/model risk) · EQR-02 (hand-off to filing)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Caveat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Dispute Explorer is informational and advisory; it is NOT legal advice and does NOT decide any matter.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120"/>
      </w:pPr>
      <w:r>
        <w:rPr>
          <w:b w:val="0"/>
        </w:rPr>
        <w:t>Most people in a dispute do not know whether they have a case worth pursuing, which method fits, what it might cost, or how long it might take. Dispute Explorer answers those questions in minutes. It works like a pre-litigation consultation: the party describes the dispute in plain language, optionally uploads a document, and receives an honest, structured read on the viability and feasibility of their claim — and a recommended next step. It saves the party's time and energy, and it improves the quality of matters that do get filed.</w:t>
      </w:r>
    </w:p>
    <w:p>
      <w:pPr>
        <w:spacing w:before="80" w:after="160"/>
        <w:jc w:val="center"/>
      </w:pPr>
      <w:r>
        <w:rPr>
          <w:b/>
          <w:i/>
          <w:color w:val="1F7A8C"/>
          <w:sz w:val="24"/>
        </w:rPr>
        <w:t>Try Dispute Explorer — get the pre-litigation consultation, free.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Position in the journey.  </w:t>
            </w:r>
            <w:r>
              <w:rPr>
                <w:color w:val="1A1A1A"/>
                <w:sz w:val="19"/>
              </w:rPr>
              <w:t>Dispute Explorer sits before filing, under the Resolve menu. It is free, low-commitment, and converts genuine disputes into well-formed filings while steering out non-starters. It is the natural entry to the negotiation rung (EQR-02 §4).</w:t>
            </w:r>
          </w:p>
        </w:tc>
      </w:tr>
    </w:tbl>
    <w:p>
      <w:pPr>
        <w:spacing w:after="40"/>
      </w:pPr>
    </w:p>
    <w:p>
      <w:pPr>
        <w:pStyle w:val="Heading1"/>
      </w:pPr>
      <w:r>
        <w:t>2. User Journey</w:t>
      </w:r>
    </w:p>
    <w:p>
      <w:pPr>
        <w:pStyle w:val="ListNumber"/>
      </w:pPr>
      <w:r>
        <w:t>Start: the party opens Dispute Explorer and consents to informational AI processing (DPDP notice).</w:t>
      </w:r>
    </w:p>
    <w:p>
      <w:pPr>
        <w:pStyle w:val="ListNumber"/>
      </w:pPr>
      <w:r>
        <w:t>Describe: guided, plain-language intake — what happened, who is involved, what they want, any dates/amounts.</w:t>
      </w:r>
    </w:p>
    <w:p>
      <w:pPr>
        <w:pStyle w:val="ListNumber"/>
      </w:pPr>
      <w:r>
        <w:t>Optional evidence: upload a contract/notice; document-AI extracts key facts (parties, clause, amounts, dates).</w:t>
      </w:r>
    </w:p>
    <w:p>
      <w:pPr>
        <w:pStyle w:val="ListNumber"/>
      </w:pPr>
      <w:r>
        <w:t>Clarify: Claude asks a few targeted follow-ups to fill gaps (like a lawyer's first call).</w:t>
      </w:r>
    </w:p>
    <w:p>
      <w:pPr>
        <w:pStyle w:val="ListNumber"/>
      </w:pPr>
      <w:r>
        <w:t>Assess: the party receives a viability &amp; feasibility report (below) with a recommended next step.</w:t>
      </w:r>
    </w:p>
    <w:p>
      <w:pPr>
        <w:pStyle w:val="ListNumber"/>
      </w:pPr>
      <w:r>
        <w:t>Act: one click to start a filing pre-populated from the session, or to try direct negotiation, or to stop.</w:t>
      </w:r>
    </w:p>
    <w:p>
      <w:pPr>
        <w:pStyle w:val="Heading1"/>
      </w:pPr>
      <w:r>
        <w:t>3. What It Produces — Viability &amp; Feasibility Report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69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Dispute summary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 neutral restatement of the dispute in plain language (party-confirmable)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Likely category &amp; method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Suggested pillar (family/NBFC/commercial/…) and recommended method (mediation/arbitration/…)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Viability read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An honest, hedged view of the strengths and weaknesses of the position — not a verdict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Feasibility read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Practicality: limitation/timing, arbitrability, evidence gaps, likely cost and duration bands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What you'd need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Documents and information to strengthen the matter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Recommended next step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File on Equator, try direct negotiation, seek independent legal advice, or reconsider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Confidence &amp; caveats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Confidence level and an explicit 'not legal advice' caveat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Honest by design.  </w:t>
            </w:r>
            <w:r>
              <w:rPr>
                <w:color w:val="1A1A1A"/>
                <w:sz w:val="19"/>
              </w:rPr>
              <w:t>The Explorer is calibrated to be candid about weak claims. Over-promising would erode trust and clog the funnel; the product's value is a realistic read, delivered kindly.</w:t>
            </w:r>
          </w:p>
        </w:tc>
      </w:tr>
    </w:tbl>
    <w:p>
      <w:pPr>
        <w:spacing w:after="40"/>
      </w:pPr>
    </w:p>
    <w:p>
      <w:pPr>
        <w:pStyle w:val="Heading1"/>
      </w:pPr>
      <w:r>
        <w:t>4. Architecture</w:t>
      </w:r>
    </w:p>
    <w:p>
      <w:pPr>
        <w:spacing w:after="120"/>
      </w:pPr>
      <w:r>
        <w:rPr>
          <w:b w:val="0"/>
        </w:rPr>
        <w:t>Dispute Explorer is delivered by explorer-svc, which orchestrates the conversation and calls the Claude API through the governed AI-gateway (the same gateway used for summarisation and drafting).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2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explorer-svc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Session state, step orchestration, prompt assembly, output shaping, hand-off to intake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AI-gateway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Single governed egress to Claude API: auth, prompt-template versioning, logging, redaction, rate limits, model registry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document-AI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OCR/extraction on any uploaded document; feeds structured facts into the prompt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rules-svc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Provides current category/method mapping and limitation hints (not a legal opinion)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consent/DPDP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Captures informational-processing consent; enforces data minimisation &amp; retention</w:t>
            </w:r>
          </w:p>
        </w:tc>
      </w:tr>
    </w:tbl>
    <w:p>
      <w:pPr>
        <w:spacing w:after="40"/>
      </w:pPr>
    </w:p>
    <w:p>
      <w:pPr>
        <w:pStyle w:val="Heading2"/>
      </w:pPr>
      <w:r>
        <w:t>4.1 Request flow</w:t>
      </w:r>
    </w:p>
    <w:p>
      <w:pPr>
        <w:spacing w:after="120"/>
      </w:pPr>
      <w:r>
        <w:rPr>
          <w:b w:val="0"/>
        </w:rPr>
        <w:t>explorer-svc assembles a prompt from a versioned template + the party's inputs + extracted document facts + rules-svc hints, calls Claude via the AI-gateway, validates the structured response against a schema, and returns the report. Every call is logged with the template version and a model-registry reference for audit and reproducibility.</w:t>
      </w:r>
    </w:p>
    <w:p>
      <w:pPr>
        <w:pStyle w:val="Heading1"/>
      </w:pPr>
      <w:r>
        <w:t>5. Conversation Design</w:t>
      </w:r>
    </w:p>
    <w:p>
      <w:pPr>
        <w:pStyle w:val="ListBullet"/>
      </w:pPr>
      <w:r>
        <w:rPr>
          <w:b/>
        </w:rPr>
        <w:t xml:space="preserve">Guided, not open-ended: </w:t>
      </w:r>
      <w:r>
        <w:t>Structured steps with plain-language prompts; the party is never faced with a blank box that invites over-sharing.</w:t>
      </w:r>
    </w:p>
    <w:p>
      <w:pPr>
        <w:pStyle w:val="ListBullet"/>
      </w:pPr>
      <w:r>
        <w:rPr>
          <w:b/>
        </w:rPr>
        <w:t xml:space="preserve">Minimal follow-ups: </w:t>
      </w:r>
      <w:r>
        <w:t>At most a few targeted questions to fill decision-relevant gaps.</w:t>
      </w:r>
    </w:p>
    <w:p>
      <w:pPr>
        <w:pStyle w:val="ListBullet"/>
      </w:pPr>
      <w:r>
        <w:rPr>
          <w:b/>
        </w:rPr>
        <w:t xml:space="preserve">Vernacular: </w:t>
      </w:r>
      <w:r>
        <w:t>Available in English and Indian languages; voice-to-text for low-literacy access.</w:t>
      </w:r>
    </w:p>
    <w:p>
      <w:pPr>
        <w:pStyle w:val="ListBullet"/>
      </w:pPr>
      <w:r>
        <w:rPr>
          <w:b/>
        </w:rPr>
        <w:t xml:space="preserve">Tone: </w:t>
      </w:r>
      <w:r>
        <w:t>Calm, respectful, non-alarming — especially for family and POSH-adjacent topics, where it routes gently to the right, confidential channel.</w:t>
      </w:r>
    </w:p>
    <w:p>
      <w:pPr>
        <w:pStyle w:val="Heading1"/>
      </w:pPr>
      <w:r>
        <w:t>6. Prompt Design &amp; Guardrails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6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Guardrail</w:t>
            </w:r>
          </w:p>
        </w:tc>
        <w:tc>
          <w:tcPr>
            <w:tcW w:type="dxa" w:w="720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Advisory only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System prompt forbids verdicts, guarantees or legal advice; every output carries the caveat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No decisions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Explorer never files, allocates, or binds; it only informs and suggests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Explainability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Each conclusion carries a plain-language rationale and, where used, the source of a legal hint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Grounding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Legal/procedural hints come from rules-svc (versioned), not free-form model recall, to reduce hallucination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Sensitive topics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Family/POSH/self-harm cues trigger supportive routing and confidentiality, not analysis</w:t>
            </w:r>
          </w:p>
        </w:tc>
      </w:tr>
      <w:tr>
        <w:tc>
          <w:tcPr>
            <w:tcW w:type="dxa" w:w="216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Bias &amp; fairness</w:t>
            </w:r>
          </w:p>
        </w:tc>
        <w:tc>
          <w:tcPr>
            <w:tcW w:type="dxa" w:w="720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Prompts avoid party-type stereotyping; outputs are monitored for fairness (EQR-14)</w:t>
            </w:r>
          </w:p>
        </w:tc>
      </w:tr>
      <w:tr>
        <w:tc>
          <w:tcPr>
            <w:tcW w:type="dxa" w:w="216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PII minimisation</w:t>
            </w:r>
          </w:p>
        </w:tc>
        <w:tc>
          <w:tcPr>
            <w:tcW w:type="dxa" w:w="720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Only decision-relevant data is sent to the model; identifiers are redacted where possible</w:t>
            </w:r>
          </w:p>
        </w:tc>
      </w:tr>
    </w:tbl>
    <w:p>
      <w:pPr>
        <w:spacing w:after="40"/>
      </w:pPr>
    </w:p>
    <w:p>
      <w:pPr>
        <w:pStyle w:val="Heading1"/>
      </w:pPr>
      <w:r>
        <w:t>7. Outputs &amp; Scoring</w:t>
      </w:r>
    </w:p>
    <w:p>
      <w:pPr>
        <w:spacing w:after="120"/>
      </w:pPr>
      <w:r>
        <w:rPr>
          <w:b w:val="0"/>
        </w:rPr>
        <w:t>The report includes qualitative reads plus lightweight indicative bands (not scores presented as certainties):</w:t>
      </w:r>
    </w:p>
    <w:p>
      <w:pPr>
        <w:pStyle w:val="ListBullet"/>
      </w:pPr>
      <w:r>
        <w:rPr>
          <w:b/>
        </w:rPr>
        <w:t xml:space="preserve">Viability band: </w:t>
      </w:r>
      <w:r>
        <w:t>Weak / Mixed / Reasonable / Strong — with reasons, explicitly hedged.</w:t>
      </w:r>
    </w:p>
    <w:p>
      <w:pPr>
        <w:pStyle w:val="ListBullet"/>
      </w:pPr>
      <w:r>
        <w:rPr>
          <w:b/>
        </w:rPr>
        <w:t xml:space="preserve">Method fit: </w:t>
      </w:r>
      <w:r>
        <w:t>Best-fit method and why (e.g., mediation for a relationship-preserving family matter).</w:t>
      </w:r>
    </w:p>
    <w:p>
      <w:pPr>
        <w:pStyle w:val="ListBullet"/>
      </w:pPr>
      <w:r>
        <w:rPr>
          <w:b/>
        </w:rPr>
        <w:t xml:space="preserve">Cost &amp; time bands: </w:t>
      </w:r>
      <w:r>
        <w:t>Indicative ranges from the rate card (EQR-08) and typical durations — clearly 'indicative'.</w:t>
      </w:r>
    </w:p>
    <w:p>
      <w:pPr>
        <w:pStyle w:val="ListBullet"/>
      </w:pPr>
      <w:r>
        <w:rPr>
          <w:b/>
        </w:rPr>
        <w:t xml:space="preserve">Readiness: </w:t>
      </w:r>
      <w:r>
        <w:t>A checklist of what would strengthen the matter before filing.</w:t>
      </w:r>
    </w:p>
    <w:p>
      <w:pPr>
        <w:pStyle w:val="Heading1"/>
      </w:pPr>
      <w:r>
        <w:t>8. Hand-off to Filing</w:t>
      </w:r>
    </w:p>
    <w:p>
      <w:pPr>
        <w:spacing w:after="120"/>
      </w:pPr>
      <w:r>
        <w:rPr>
          <w:b w:val="0"/>
        </w:rPr>
        <w:t>If the party proceeds, explorer-svc maps the confirmed session into a draft case (F5 master filing), pre-filling parties, pillar, mechanism, facts and any extracted document data. The party reviews and submits; the draft references the Explorer session for continuity (not as evidence of liability).</w:t>
      </w:r>
    </w:p>
    <w:p>
      <w:pPr>
        <w:pStyle w:val="Heading1"/>
      </w:pPr>
      <w:r>
        <w:t>9. Data, Consent &amp; Retention (DPDP)</w:t>
      </w:r>
    </w:p>
    <w:p>
      <w:pPr>
        <w:pStyle w:val="ListBullet"/>
      </w:pPr>
      <w:r>
        <w:t>Explicit informational-processing consent captured before any AI call; purpose limited to the consultation.</w:t>
      </w:r>
    </w:p>
    <w:p>
      <w:pPr>
        <w:pStyle w:val="ListBullet"/>
      </w:pPr>
      <w:r>
        <w:t>Data minimisation: only decision-relevant fields are sent to the model; documents processed for extraction, not retained beyond need.</w:t>
      </w:r>
    </w:p>
    <w:p>
      <w:pPr>
        <w:pStyle w:val="ListBullet"/>
      </w:pPr>
      <w:r>
        <w:t>Sessions are retained per policy (EQR-14); the party can discard a session; discarded sessions are not used downstream.</w:t>
      </w:r>
    </w:p>
    <w:p>
      <w:pPr>
        <w:pStyle w:val="ListBullet"/>
      </w:pPr>
      <w:r>
        <w:t>No training on party data by default; model interactions logged for audit, not profiling.</w:t>
      </w:r>
    </w:p>
    <w:p>
      <w:pPr>
        <w:pStyle w:val="Heading1"/>
      </w:pPr>
      <w:r>
        <w:t>10. Safety &amp; Compliance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Three hard rules.  </w:t>
            </w:r>
            <w:r>
              <w:rPr>
                <w:color w:val="1A1A1A"/>
                <w:sz w:val="19"/>
              </w:rPr>
              <w:t>(1) Dispute Explorer is not legal advice and says so. (2) It never decides — no filing, allocation or binding outcome happens without the party's explicit action. (3) It is monitored for fairness and accuracy under the model-risk governance in EQR-14, with a human-reviewable log for every session.</w:t>
            </w:r>
          </w:p>
        </w:tc>
      </w:tr>
    </w:tbl>
    <w:p>
      <w:pPr>
        <w:spacing w:after="40"/>
      </w:pPr>
    </w:p>
    <w:p>
      <w:pPr>
        <w:pStyle w:val="Heading1"/>
      </w:pPr>
      <w:r>
        <w:t>11. Metrics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Completion rate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Are parties finishing the consultation?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Explorer→filing conversion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Is it producing well-formed filings?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Steer-out rate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Is it honestly deflecting non-starters?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Party-reported usefulness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Did it save time and clarify?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8"/>
              </w:rPr>
              <w:t>Accuracy/fairness audits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8"/>
              </w:rPr>
              <w:t>Sampled human review of outputs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EQR-07 v2.0.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EQR-07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