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F · FINANCE &amp; REFERENCE</w:t>
      </w:r>
    </w:p>
    <w:p>
      <w:pPr>
        <w:pStyle w:val="Title"/>
        <w:pBdr>
          <w:bottom w:val="single" w:sz="20" w:space="6" w:color="B98A2E"/>
        </w:pBdr>
      </w:pPr>
      <w:r>
        <w:t>Payments, Pricing &amp; Fee Architecture</w:t>
      </w:r>
    </w:p>
    <w:p>
      <w:pPr>
        <w:spacing w:after="280"/>
      </w:pPr>
      <w:r>
        <w:rPr>
          <w:i/>
          <w:color w:val="5A6B7B"/>
          <w:sz w:val="25"/>
        </w:rPr>
        <w:t>How money moves on Equator Resolution — transparent published pricing for parties and companies, fee disposition and payouts for neutrals, escrow for settlement funds, and the Razorpay (India) and PayPal (international) rails that carry it.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EQR-08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Payments, Pricing &amp; Fee Architecture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2.0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8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CFO / Head of Finance Engineering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Rails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Razorpay (India: Payments, Route, Escrow, Payouts) · PayPal (international: Checkout, Payouts)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Caveat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Illustrative amounts; the live, versioned rate card is authoritative. Re-verify processor fees before launch.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Purpose &amp; Principles</w:t>
      </w:r>
    </w:p>
    <w:p>
      <w:pPr>
        <w:spacing w:after="120"/>
      </w:pPr>
      <w:r>
        <w:rPr>
          <w:b w:val="0"/>
        </w:rPr>
        <w:t>Pricing is a wedge, not an afterthought: most Indian competitors quote privately, so transparent, published pricing is a differentiator. This document specifies the fee model for every payer (parties, companies, neutrals), the rate-card system, escrow for settlement money, and the payment rails.</w:t>
      </w:r>
    </w:p>
    <w:p>
      <w:pPr>
        <w:pStyle w:val="ListNumber"/>
      </w:pPr>
      <w:r>
        <w:t>Transparent — every rate card is published on the Schedule of Fee page and versioned.</w:t>
      </w:r>
    </w:p>
    <w:p>
      <w:pPr>
        <w:pStyle w:val="ListNumber"/>
      </w:pPr>
      <w:r>
        <w:t>Stage- and outcome-based — parties pay for the rung they use; success fees where appropriate.</w:t>
      </w:r>
    </w:p>
    <w:p>
      <w:pPr>
        <w:pStyle w:val="ListNumber"/>
      </w:pPr>
      <w:r>
        <w:t>Two-sided — the engine handles both what parties pay in and what neutrals are paid out.</w:t>
      </w:r>
    </w:p>
    <w:p>
      <w:pPr>
        <w:pStyle w:val="ListNumber"/>
      </w:pPr>
      <w:r>
        <w:t>Split at source — the neutral's fee and the platform fee are separated on payment (Razorpay Route).</w:t>
      </w:r>
    </w:p>
    <w:p>
      <w:pPr>
        <w:pStyle w:val="ListNumber"/>
      </w:pPr>
      <w:r>
        <w:t>Escrowed where needed — settlement money is held and released on performance.</w:t>
      </w:r>
    </w:p>
    <w:p>
      <w:pPr>
        <w:pStyle w:val="ListNumber"/>
      </w:pPr>
      <w:r>
        <w:t>Global-ready — India via Razorpay; international via PayPal, multi-currency.</w:t>
      </w:r>
    </w:p>
    <w:p>
      <w:pPr>
        <w:spacing w:before="80" w:after="160"/>
        <w:jc w:val="center"/>
      </w:pPr>
      <w:r>
        <w:rPr>
          <w:b/>
          <w:i/>
          <w:color w:val="1F7A8C"/>
          <w:sz w:val="24"/>
        </w:rPr>
        <w:t>Services starting at ₹999 in India — priced in the open.</w:t>
      </w:r>
    </w:p>
    <w:p>
      <w:pPr>
        <w:pStyle w:val="Heading1"/>
      </w:pPr>
      <w:r>
        <w:t>2. Who Pays What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Payer</w:t>
            </w:r>
          </w:p>
        </w:tc>
        <w:tc>
          <w:tcPr>
            <w:tcW w:type="dxa" w:w="417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Pays for</w:t>
            </w:r>
          </w:p>
        </w:tc>
        <w:tc>
          <w:tcPr>
            <w:tcW w:type="dxa" w:w="259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Typical basis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Individual party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Filing/case fee, stage fees, e-stamp, add-ons</w:t>
            </w:r>
          </w:p>
        </w:tc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Rate card by pillar &amp; claim band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Company (enterprise)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Annual contract + per-case; grievance seats</w:t>
            </w:r>
          </w:p>
        </w:tc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Contract + usage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NBFC / lender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Per-case / bulk-case fees</w:t>
            </w:r>
          </w:p>
        </w:tc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Volume rate card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Market participant (securities)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Conciliation &amp; arbitration fees</w:t>
            </w:r>
          </w:p>
        </w:tc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SEBI SMART-ODR schedule</w:t>
            </w:r>
          </w:p>
        </w:tc>
      </w:tr>
      <w:tr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Neutral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(Receives) fees; may pay Private Court subscription</w:t>
            </w:r>
          </w:p>
        </w:tc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Payout / subscription</w:t>
            </w:r>
          </w:p>
        </w:tc>
      </w:tr>
      <w:tr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Private Court tenant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Subscription + per-case + add-ons</w:t>
            </w:r>
          </w:p>
        </w:tc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SaaS rate card</w:t>
            </w:r>
          </w:p>
        </w:tc>
      </w:tr>
    </w:tbl>
    <w:p>
      <w:pPr>
        <w:spacing w:after="40"/>
      </w:pPr>
    </w:p>
    <w:p>
      <w:pPr>
        <w:pStyle w:val="Heading1"/>
      </w:pPr>
      <w:r>
        <w:t>3. Party Rate Cards (illustrative)</w:t>
      </w:r>
    </w:p>
    <w:p>
      <w:pPr>
        <w:spacing w:after="120"/>
      </w:pPr>
      <w:r>
        <w:rPr>
          <w:b w:val="0"/>
        </w:rPr>
        <w:t>Illustrative structure only; the live rate card is authoritative and versioned. Amounts are examples to show the shape of the model.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Pillar / service</w:t>
            </w:r>
          </w:p>
        </w:tc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Entry</w:t>
            </w:r>
          </w:p>
        </w:tc>
        <w:tc>
          <w:tcPr>
            <w:tcW w:type="dxa" w:w="259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Stage fees</w:t>
            </w:r>
          </w:p>
        </w:tc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Dispute Explorer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Free</w:t>
            </w:r>
          </w:p>
        </w:tc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—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Pre-litigation consultation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Direct negotiation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From ₹999</w:t>
            </w:r>
          </w:p>
        </w:tc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Fast, self-service settlement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Family mediation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Tiered</w:t>
            </w:r>
          </w:p>
        </w:tc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Per session / settlement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Sensitivity-aware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Commercial mediation/arbitration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By claim band</w:t>
            </w:r>
          </w:p>
        </w:tc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Filing + hearing + award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Sole/three-member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NBFC (bulk)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Per-case, volume</w:t>
            </w:r>
          </w:p>
        </w:tc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Conciliation→arbitration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Clause/API driven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Securities (SEBI)</w:t>
            </w:r>
          </w:p>
        </w:tc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Per schedule</w:t>
            </w:r>
          </w:p>
        </w:tc>
        <w:tc>
          <w:tcPr>
            <w:tcW w:type="dxa" w:w="259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Conciliation (participant-paid), arbitration (both)</w:t>
            </w:r>
          </w:p>
        </w:tc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SMART-ODR clocks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e-Stamp / e-Sign</w:t>
            </w:r>
          </w:p>
        </w:tc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At cost + fee</w:t>
            </w:r>
          </w:p>
        </w:tc>
        <w:tc>
          <w:tcPr>
            <w:tcW w:type="dxa" w:w="259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Per document</w:t>
            </w:r>
          </w:p>
        </w:tc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State-specific duty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SEBI reference schedule.  </w:t>
            </w:r>
            <w:r>
              <w:rPr>
                <w:color w:val="1A1A1A"/>
                <w:sz w:val="19"/>
              </w:rPr>
              <w:t>For the securities module, pre-conciliation is free to both sides; conciliation is borne by the market participant; arbitration fees depend on the claim value and are shared — configured to the SEBI SMART-ODR schedule.</w:t>
            </w:r>
          </w:p>
        </w:tc>
      </w:tr>
    </w:tbl>
    <w:p>
      <w:pPr>
        <w:spacing w:after="40"/>
      </w:pPr>
    </w:p>
    <w:p>
      <w:pPr>
        <w:pStyle w:val="Heading1"/>
      </w:pPr>
      <w:r>
        <w:t>4. Neutral Fee Disposition &amp; Payouts</w:t>
      </w:r>
    </w:p>
    <w:p>
      <w:pPr>
        <w:spacing w:after="120"/>
      </w:pPr>
      <w:r>
        <w:rPr>
          <w:b w:val="0"/>
        </w:rPr>
        <w:t>Neutrals are paid transparently through the platform; senior neutrals and institution admins can dispose of fees at the institutional level (set panel rate cards, approve concessions/pro-bono, configure success-fee sharing).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734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Fee note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Neutral raises a fee note against the case; validated against the panel schedule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Split at source</w:t>
            </w:r>
          </w:p>
        </w:tc>
        <w:tc>
          <w:tcPr>
            <w:tcW w:type="dxa" w:w="73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Party payment split by Razorpay Route: neutral share to the neutral, platform share to Equator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Escrow-linked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Where held pending outcome, escrow releases on completion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Payout</w:t>
            </w:r>
          </w:p>
        </w:tc>
        <w:tc>
          <w:tcPr>
            <w:tcW w:type="dxa" w:w="73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Razorpay Payouts (India) or PayPal Payouts (international) to the neutral's verified account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Tax</w:t>
            </w:r>
          </w:p>
        </w:tc>
        <w:tc>
          <w:tcPr>
            <w:tcW w:type="dxa" w:w="73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TDS deducted where applicable; GST handling; documents generated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type="dxa" w:w="73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Neutral sees fee, payout and tax history in their workspace (EQR-05 §6)</w:t>
            </w:r>
          </w:p>
        </w:tc>
      </w:tr>
    </w:tbl>
    <w:p>
      <w:pPr>
        <w:spacing w:after="40"/>
      </w:pPr>
    </w:p>
    <w:p>
      <w:pPr>
        <w:pStyle w:val="Heading1"/>
      </w:pPr>
      <w:r>
        <w:t>5. Payment Rails</w:t>
      </w:r>
    </w:p>
    <w:p>
      <w:pPr>
        <w:pStyle w:val="Heading2"/>
      </w:pPr>
      <w:r>
        <w:t>5.1 Razorpay (India)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Razorpay product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Use on Equator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Payments (gateway)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Collect party/company fees (UPI, cards, netbanking, wallets)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Route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Split a single payment: neutral fee + platform fee; deferred/periodic settlement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Escrow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Hold settlement funds; release on performance (tri-party; RazorpayX as tech partner)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Payouts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Pay neutrals and refunds via bulk/instant payouts</w:t>
            </w:r>
          </w:p>
        </w:tc>
      </w:tr>
    </w:tbl>
    <w:p>
      <w:pPr>
        <w:spacing w:after="40"/>
      </w:pPr>
    </w:p>
    <w:p>
      <w:pPr>
        <w:pStyle w:val="Heading2"/>
      </w:pPr>
      <w:r>
        <w:t>5.2 PayPal (international)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PayPal product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Use on Equator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Checkout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Collect fees from international parties in multiple currencies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Payouts API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Disburse to international neutrals (multi-country/currency; up to 15,000 per call)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FX handling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Currency conversion with spread; fees surfaced transparently to the payer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Processor fees are pass-through-aware.  </w:t>
            </w:r>
            <w:r>
              <w:rPr>
                <w:color w:val="1A1A1A"/>
                <w:sz w:val="19"/>
              </w:rPr>
              <w:t>Razorpay and PayPal fees (and PayPal FX spread ~3–4% and ~2% payout fee) are modelled in unit economics and, where policy allows, surfaced to the payer. Re-verify current processor pricing before launch.</w:t>
            </w:r>
          </w:p>
        </w:tc>
      </w:tr>
    </w:tbl>
    <w:p>
      <w:pPr>
        <w:spacing w:after="40"/>
      </w:pPr>
    </w:p>
    <w:p>
      <w:pPr>
        <w:pStyle w:val="Heading1"/>
      </w:pPr>
      <w:r>
        <w:t>6. Escrow &amp; Settlement Funds</w:t>
      </w:r>
    </w:p>
    <w:p>
      <w:pPr>
        <w:spacing w:after="120"/>
      </w:pPr>
      <w:r>
        <w:rPr>
          <w:b w:val="0"/>
        </w:rPr>
        <w:t>For money outcomes (settlements, instalment plans, awards to be paid), funds can be routed through an escrow ledger: the payer funds escrow, the platform records the obligation, and funds release to the payee on performance or on the settlement schedule. Breach re-opens escalation and pauses release. The escrow ledger is reconciled to the processor and is auditable.</w:t>
      </w:r>
    </w:p>
    <w:p>
      <w:pPr>
        <w:pStyle w:val="Heading1"/>
      </w:pPr>
      <w:r>
        <w:t>7. Taxes &amp; Compliance</w:t>
      </w:r>
    </w:p>
    <w:p>
      <w:pPr>
        <w:pStyle w:val="ListBullet"/>
      </w:pPr>
      <w:r>
        <w:t>GST on platform fees; invoices issued per Indian tax rules.</w:t>
      </w:r>
    </w:p>
    <w:p>
      <w:pPr>
        <w:pStyle w:val="ListBullet"/>
      </w:pPr>
      <w:r>
        <w:t>TDS on neutral payouts where applicable; Form 16A/26AS alignment.</w:t>
      </w:r>
    </w:p>
    <w:p>
      <w:pPr>
        <w:pStyle w:val="ListBullet"/>
      </w:pPr>
      <w:r>
        <w:t>International: tax treatment per jurisdiction; PayPal documentation retained.</w:t>
      </w:r>
    </w:p>
    <w:p>
      <w:pPr>
        <w:pStyle w:val="ListBullet"/>
      </w:pPr>
      <w:r>
        <w:t>PCI-DSS handled by the processors; Equator does not store raw card data.</w:t>
      </w:r>
    </w:p>
    <w:p>
      <w:pPr>
        <w:pStyle w:val="Heading1"/>
      </w:pPr>
      <w:r>
        <w:t>8. Refund &amp; Cancellation Policy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60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Policy (illustrative)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Withdrawal before neutral appointed</w:t>
            </w:r>
          </w:p>
        </w:tc>
        <w:tc>
          <w:tcPr>
            <w:tcW w:type="dxa" w:w="60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Fee refunded less processing, per published policy</w:t>
            </w:r>
          </w:p>
        </w:tc>
      </w:tr>
      <w:tr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Settlement before hearing</w:t>
            </w:r>
          </w:p>
        </w:tc>
        <w:tc>
          <w:tcPr>
            <w:tcW w:type="dxa" w:w="60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Partial refund of unused stage fees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Duplicate/erroneous payment</w:t>
            </w:r>
          </w:p>
        </w:tc>
        <w:tc>
          <w:tcPr>
            <w:tcW w:type="dxa" w:w="60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Full refund via payout</w:t>
            </w:r>
          </w:p>
        </w:tc>
      </w:tr>
      <w:tr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Dispute Explorer</w:t>
            </w:r>
          </w:p>
        </w:tc>
        <w:tc>
          <w:tcPr>
            <w:tcW w:type="dxa" w:w="60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Free — no charge, no refund needed</w:t>
            </w:r>
          </w:p>
        </w:tc>
      </w:tr>
      <w:tr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Non-refundable items</w:t>
            </w:r>
          </w:p>
        </w:tc>
        <w:tc>
          <w:tcPr>
            <w:tcW w:type="dxa" w:w="60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e-stamp duty paid to the state; third-party pass-through costs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The authoritative Pricing &amp; Refund Policy is published on the website (EQR-10) and versioned with the rate cards.</w:t>
      </w:r>
    </w:p>
    <w:p>
      <w:pPr>
        <w:pStyle w:val="Heading1"/>
      </w:pPr>
      <w:r>
        <w:t>9. Data Model &amp; Flows (pointer)</w:t>
      </w:r>
    </w:p>
    <w:p>
      <w:pPr>
        <w:spacing w:after="120"/>
      </w:pPr>
      <w:r>
        <w:rPr>
          <w:b w:val="0"/>
        </w:rPr>
        <w:t>Finance entities — invoices, payments, escrow_ledger, settlement_payments, payouts, rate_cards, rate_card_items — are specified field-level in EQR-12. Key events: FeePaid, EscrowFunded, SettlementPaid, PayoutSent, RefundIssued. All reconcile against processor webhooks and feed analytics and the financial model.</w:t>
      </w:r>
    </w:p>
    <w:p>
      <w:pPr>
        <w:spacing w:after="120"/>
      </w:pPr>
      <w:r>
        <w:rPr>
          <w:b w:val="0"/>
          <w:color w:val="5A6B7B"/>
          <w:sz w:val="18"/>
        </w:rPr>
        <w:t>End of EQR-08 v2.0.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EQR-08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