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val="clear" w:color="auto" w:fill="0B2E4F"/>
        <w:spacing w:after="40"/>
      </w:pPr>
      <w:r>
        <w:rPr>
          <w:sz w:val="8"/>
        </w:rPr>
        <w:t xml:space="preserve"> </w:t>
      </w:r>
    </w:p>
    <w:p>
      <w:pPr>
        <w:spacing w:before="200" w:after="40"/>
      </w:pPr>
      <w:r>
        <w:rPr>
          <w:b/>
          <w:color w:val="1F7A8C"/>
          <w:sz w:val="20"/>
        </w:rPr>
        <w:t>FAMILY E · WEB, MOBILE &amp; CONTENT</w:t>
      </w:r>
    </w:p>
    <w:p>
      <w:pPr>
        <w:pStyle w:val="Title"/>
        <w:pBdr>
          <w:bottom w:val="single" w:sz="20" w:space="6" w:color="B98A2E"/>
        </w:pBdr>
      </w:pPr>
      <w:r>
        <w:t>Website Architecture, Sitemap &amp; Menu</w:t>
      </w:r>
    </w:p>
    <w:p>
      <w:pPr>
        <w:spacing w:after="280"/>
      </w:pPr>
      <w:r>
        <w:rPr>
          <w:i/>
          <w:color w:val="5A6B7B"/>
          <w:sz w:val="25"/>
        </w:rPr>
        <w:t>The complete information architecture for equatorresolution.com — the primary menu, the full sitemap, the persona-based dashboards, the public case-status explorer, and the page templates a developer can build from directly.</w:t>
      </w:r>
    </w:p>
    <w:p>
      <w:pPr>
        <w:pStyle w:val="Heading2"/>
      </w:pPr>
      <w:r>
        <w:t>Document Control</w:t>
      </w:r>
    </w:p>
    <w:tbl>
      <w:tblPr>
        <w:tblW w:type="auto" w:w="0"/>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firstColumn="1" w:firstRow="1" w:lastColumn="0" w:lastRow="0" w:noHBand="0" w:noVBand="1" w:val="04A0"/>
      </w:tblPr>
      <w:tblGrid>
        <w:gridCol w:w="4680"/>
        <w:gridCol w:w="4680"/>
      </w:tblGrid>
      <w:tr>
        <w:trPr>
          <w:tblHeader w:val="true"/>
        </w:trPr>
        <w:tc>
          <w:tcPr>
            <w:tcW w:type="dxa" w:w="2880"/>
            <w:shd w:val="clear" w:color="auto" w:fill="0B2E4F"/>
            <w:tcMar>
              <w:top w:w="60" w:type="dxa"/>
              <w:left w:w="110" w:type="dxa"/>
              <w:bottom w:w="60" w:type="dxa"/>
              <w:right w:w="110" w:type="dxa"/>
            </w:tcMar>
            <w:vAlign w:val="center"/>
          </w:tcPr>
          <w:p>
            <w:pPr>
              <w:spacing w:after="20"/>
            </w:pPr>
            <w:r>
              <w:rPr>
                <w:b/>
                <w:color w:val="FFFFFF"/>
                <w:sz w:val="19"/>
              </w:rPr>
              <w:t>Field</w:t>
            </w:r>
          </w:p>
        </w:tc>
        <w:tc>
          <w:tcPr>
            <w:tcW w:type="dxa" w:w="6480"/>
            <w:shd w:val="clear" w:color="auto" w:fill="0B2E4F"/>
            <w:tcMar>
              <w:top w:w="60" w:type="dxa"/>
              <w:left w:w="110" w:type="dxa"/>
              <w:bottom w:w="60" w:type="dxa"/>
              <w:right w:w="110" w:type="dxa"/>
            </w:tcMar>
            <w:vAlign w:val="center"/>
          </w:tcPr>
          <w:p>
            <w:pPr>
              <w:spacing w:after="20"/>
            </w:pPr>
            <w:r>
              <w:rPr>
                <w:b/>
                <w:color w:val="FFFFFF"/>
                <w:sz w:val="19"/>
              </w:rPr>
              <w:t>Detail</w:t>
            </w:r>
          </w:p>
        </w:tc>
      </w:tr>
      <w:tr>
        <w:tc>
          <w:tcPr>
            <w:tcW w:type="dxa" w:w="2880"/>
            <w:tcMar>
              <w:top w:w="60" w:type="dxa"/>
              <w:left w:w="110" w:type="dxa"/>
              <w:bottom w:w="60" w:type="dxa"/>
              <w:right w:w="110" w:type="dxa"/>
            </w:tcMar>
            <w:vAlign w:val="top"/>
          </w:tcPr>
          <w:p>
            <w:pPr>
              <w:spacing w:after="20"/>
            </w:pPr>
            <w:r>
              <w:rPr>
                <w:b/>
                <w:sz w:val="19"/>
              </w:rPr>
              <w:t>Document code</w:t>
            </w:r>
          </w:p>
        </w:tc>
        <w:tc>
          <w:tcPr>
            <w:tcW w:type="dxa" w:w="6480"/>
            <w:tcMar>
              <w:top w:w="60" w:type="dxa"/>
              <w:left w:w="110" w:type="dxa"/>
              <w:bottom w:w="60" w:type="dxa"/>
              <w:right w:w="110" w:type="dxa"/>
            </w:tcMar>
            <w:vAlign w:val="top"/>
          </w:tcPr>
          <w:p>
            <w:pPr>
              <w:spacing w:after="20"/>
            </w:pPr>
            <w:r>
              <w:rPr>
                <w:sz w:val="19"/>
              </w:rPr>
              <w:t>EQR-09</w:t>
            </w:r>
          </w:p>
        </w:tc>
      </w:tr>
      <w:tr>
        <w:tc>
          <w:tcPr>
            <w:tcW w:type="dxa" w:w="2880"/>
            <w:shd w:val="clear" w:color="auto" w:fill="EAF1F6"/>
            <w:tcMar>
              <w:top w:w="60" w:type="dxa"/>
              <w:left w:w="110" w:type="dxa"/>
              <w:bottom w:w="60" w:type="dxa"/>
              <w:right w:w="110" w:type="dxa"/>
            </w:tcMar>
            <w:vAlign w:val="top"/>
          </w:tcPr>
          <w:p>
            <w:pPr>
              <w:spacing w:after="20"/>
            </w:pPr>
            <w:r>
              <w:rPr>
                <w:b/>
                <w:sz w:val="19"/>
              </w:rPr>
              <w:t>Document title</w:t>
            </w:r>
          </w:p>
        </w:tc>
        <w:tc>
          <w:tcPr>
            <w:tcW w:type="dxa" w:w="6480"/>
            <w:shd w:val="clear" w:color="auto" w:fill="EAF1F6"/>
            <w:tcMar>
              <w:top w:w="60" w:type="dxa"/>
              <w:left w:w="110" w:type="dxa"/>
              <w:bottom w:w="60" w:type="dxa"/>
              <w:right w:w="110" w:type="dxa"/>
            </w:tcMar>
            <w:vAlign w:val="top"/>
          </w:tcPr>
          <w:p>
            <w:pPr>
              <w:spacing w:after="20"/>
            </w:pPr>
            <w:r>
              <w:rPr>
                <w:sz w:val="19"/>
              </w:rPr>
              <w:t>Website Architecture, Sitemap &amp; Menu</w:t>
            </w:r>
          </w:p>
        </w:tc>
      </w:tr>
      <w:tr>
        <w:tc>
          <w:tcPr>
            <w:tcW w:type="dxa" w:w="2880"/>
            <w:tcMar>
              <w:top w:w="60" w:type="dxa"/>
              <w:left w:w="110" w:type="dxa"/>
              <w:bottom w:w="60" w:type="dxa"/>
              <w:right w:w="110" w:type="dxa"/>
            </w:tcMar>
            <w:vAlign w:val="top"/>
          </w:tcPr>
          <w:p>
            <w:pPr>
              <w:spacing w:after="20"/>
            </w:pPr>
            <w:r>
              <w:rPr>
                <w:b/>
                <w:sz w:val="19"/>
              </w:rPr>
              <w:t>Version</w:t>
            </w:r>
          </w:p>
        </w:tc>
        <w:tc>
          <w:tcPr>
            <w:tcW w:type="dxa" w:w="6480"/>
            <w:tcMar>
              <w:top w:w="60" w:type="dxa"/>
              <w:left w:w="110" w:type="dxa"/>
              <w:bottom w:w="60" w:type="dxa"/>
              <w:right w:w="110" w:type="dxa"/>
            </w:tcMar>
            <w:vAlign w:val="top"/>
          </w:tcPr>
          <w:p>
            <w:pPr>
              <w:spacing w:after="20"/>
            </w:pPr>
            <w:r>
              <w:rPr>
                <w:sz w:val="19"/>
              </w:rPr>
              <w:t>2.0</w:t>
            </w:r>
          </w:p>
        </w:tc>
      </w:tr>
      <w:tr>
        <w:tc>
          <w:tcPr>
            <w:tcW w:type="dxa" w:w="2880"/>
            <w:shd w:val="clear" w:color="auto" w:fill="EAF1F6"/>
            <w:tcMar>
              <w:top w:w="60" w:type="dxa"/>
              <w:left w:w="110" w:type="dxa"/>
              <w:bottom w:w="60" w:type="dxa"/>
              <w:right w:w="110" w:type="dxa"/>
            </w:tcMar>
            <w:vAlign w:val="top"/>
          </w:tcPr>
          <w:p>
            <w:pPr>
              <w:spacing w:after="20"/>
            </w:pPr>
            <w:r>
              <w:rPr>
                <w:b/>
                <w:sz w:val="19"/>
              </w:rPr>
              <w:t>Date</w:t>
            </w:r>
          </w:p>
        </w:tc>
        <w:tc>
          <w:tcPr>
            <w:tcW w:type="dxa" w:w="6480"/>
            <w:shd w:val="clear" w:color="auto" w:fill="EAF1F6"/>
            <w:tcMar>
              <w:top w:w="60" w:type="dxa"/>
              <w:left w:w="110" w:type="dxa"/>
              <w:bottom w:w="60" w:type="dxa"/>
              <w:right w:w="110" w:type="dxa"/>
            </w:tcMar>
            <w:vAlign w:val="top"/>
          </w:tcPr>
          <w:p>
            <w:pPr>
              <w:spacing w:after="20"/>
            </w:pPr>
            <w:r>
              <w:rPr>
                <w:sz w:val="19"/>
              </w:rPr>
              <w:t>8 July 2026</w:t>
            </w:r>
          </w:p>
        </w:tc>
      </w:tr>
      <w:tr>
        <w:tc>
          <w:tcPr>
            <w:tcW w:type="dxa" w:w="2880"/>
            <w:tcMar>
              <w:top w:w="60" w:type="dxa"/>
              <w:left w:w="110" w:type="dxa"/>
              <w:bottom w:w="60" w:type="dxa"/>
              <w:right w:w="110" w:type="dxa"/>
            </w:tcMar>
            <w:vAlign w:val="top"/>
          </w:tcPr>
          <w:p>
            <w:pPr>
              <w:spacing w:after="20"/>
            </w:pPr>
            <w:r>
              <w:rPr>
                <w:b/>
                <w:sz w:val="19"/>
              </w:rPr>
              <w:t>Status</w:t>
            </w:r>
          </w:p>
        </w:tc>
        <w:tc>
          <w:tcPr>
            <w:tcW w:type="dxa" w:w="6480"/>
            <w:tcMar>
              <w:top w:w="60" w:type="dxa"/>
              <w:left w:w="110" w:type="dxa"/>
              <w:bottom w:w="60" w:type="dxa"/>
              <w:right w:w="110" w:type="dxa"/>
            </w:tcMar>
            <w:vAlign w:val="top"/>
          </w:tcPr>
          <w:p>
            <w:pPr>
              <w:spacing w:after="20"/>
            </w:pPr>
            <w:r>
              <w:rPr>
                <w:sz w:val="19"/>
              </w:rPr>
              <w:t>Issued for build</w:t>
            </w:r>
          </w:p>
        </w:tc>
      </w:tr>
      <w:tr>
        <w:tc>
          <w:tcPr>
            <w:tcW w:type="dxa" w:w="2880"/>
            <w:shd w:val="clear" w:color="auto" w:fill="EAF1F6"/>
            <w:tcMar>
              <w:top w:w="60" w:type="dxa"/>
              <w:left w:w="110" w:type="dxa"/>
              <w:bottom w:w="60" w:type="dxa"/>
              <w:right w:w="110" w:type="dxa"/>
            </w:tcMar>
            <w:vAlign w:val="top"/>
          </w:tcPr>
          <w:p>
            <w:pPr>
              <w:spacing w:after="20"/>
            </w:pPr>
            <w:r>
              <w:rPr>
                <w:b/>
                <w:sz w:val="19"/>
              </w:rPr>
              <w:t>Owner</w:t>
            </w:r>
          </w:p>
        </w:tc>
        <w:tc>
          <w:tcPr>
            <w:tcW w:type="dxa" w:w="6480"/>
            <w:shd w:val="clear" w:color="auto" w:fill="EAF1F6"/>
            <w:tcMar>
              <w:top w:w="60" w:type="dxa"/>
              <w:left w:w="110" w:type="dxa"/>
              <w:bottom w:w="60" w:type="dxa"/>
              <w:right w:w="110" w:type="dxa"/>
            </w:tcMar>
            <w:vAlign w:val="top"/>
          </w:tcPr>
          <w:p>
            <w:pPr>
              <w:spacing w:after="20"/>
            </w:pPr>
            <w:r>
              <w:rPr>
                <w:sz w:val="19"/>
              </w:rPr>
              <w:t>Head of Product / Design</w:t>
            </w:r>
          </w:p>
        </w:tc>
      </w:tr>
      <w:tr>
        <w:tc>
          <w:tcPr>
            <w:tcW w:type="dxa" w:w="2880"/>
            <w:tcMar>
              <w:top w:w="60" w:type="dxa"/>
              <w:left w:w="110" w:type="dxa"/>
              <w:bottom w:w="60" w:type="dxa"/>
              <w:right w:w="110" w:type="dxa"/>
            </w:tcMar>
            <w:vAlign w:val="top"/>
          </w:tcPr>
          <w:p>
            <w:pPr>
              <w:spacing w:after="20"/>
            </w:pPr>
            <w:r>
              <w:rPr>
                <w:b/>
                <w:sz w:val="19"/>
              </w:rPr>
              <w:t>Classification</w:t>
            </w:r>
          </w:p>
        </w:tc>
        <w:tc>
          <w:tcPr>
            <w:tcW w:type="dxa" w:w="6480"/>
            <w:tcMar>
              <w:top w:w="60" w:type="dxa"/>
              <w:left w:w="110" w:type="dxa"/>
              <w:bottom w:w="60" w:type="dxa"/>
              <w:right w:w="110" w:type="dxa"/>
            </w:tcMar>
            <w:vAlign w:val="top"/>
          </w:tcPr>
          <w:p>
            <w:pPr>
              <w:spacing w:after="20"/>
            </w:pPr>
            <w:r>
              <w:rPr>
                <w:sz w:val="19"/>
              </w:rPr>
              <w:t>Confidential — Internal</w:t>
            </w:r>
          </w:p>
        </w:tc>
      </w:tr>
      <w:tr>
        <w:tc>
          <w:tcPr>
            <w:tcW w:type="dxa" w:w="2880"/>
            <w:shd w:val="clear" w:color="auto" w:fill="EAF1F6"/>
            <w:tcMar>
              <w:top w:w="60" w:type="dxa"/>
              <w:left w:w="110" w:type="dxa"/>
              <w:bottom w:w="60" w:type="dxa"/>
              <w:right w:w="110" w:type="dxa"/>
            </w:tcMar>
            <w:vAlign w:val="top"/>
          </w:tcPr>
          <w:p>
            <w:pPr>
              <w:spacing w:after="20"/>
            </w:pPr>
            <w:r>
              <w:rPr>
                <w:b/>
                <w:sz w:val="19"/>
              </w:rPr>
              <w:t>Sibling site</w:t>
            </w:r>
          </w:p>
        </w:tc>
        <w:tc>
          <w:tcPr>
            <w:tcW w:type="dxa" w:w="6480"/>
            <w:shd w:val="clear" w:color="auto" w:fill="EAF1F6"/>
            <w:tcMar>
              <w:top w:w="60" w:type="dxa"/>
              <w:left w:w="110" w:type="dxa"/>
              <w:bottom w:w="60" w:type="dxa"/>
              <w:right w:w="110" w:type="dxa"/>
            </w:tcMar>
            <w:vAlign w:val="top"/>
          </w:tcPr>
          <w:p>
            <w:pPr>
              <w:spacing w:after="20"/>
            </w:pPr>
            <w:r>
              <w:rPr>
                <w:sz w:val="19"/>
              </w:rPr>
              <w:t>Equator ADR Institute (equatoradr.com) — training; linked, not hosted here</w:t>
            </w:r>
          </w:p>
        </w:tc>
      </w:tr>
      <w:tr>
        <w:tc>
          <w:tcPr>
            <w:tcW w:type="dxa" w:w="2880"/>
            <w:tcMar>
              <w:top w:w="60" w:type="dxa"/>
              <w:left w:w="110" w:type="dxa"/>
              <w:bottom w:w="60" w:type="dxa"/>
              <w:right w:w="110" w:type="dxa"/>
            </w:tcMar>
            <w:vAlign w:val="top"/>
          </w:tcPr>
          <w:p>
            <w:pPr>
              <w:spacing w:after="20"/>
            </w:pPr>
            <w:r>
              <w:rPr>
                <w:b/>
                <w:sz w:val="19"/>
              </w:rPr>
              <w:t>Companions</w:t>
            </w:r>
          </w:p>
        </w:tc>
        <w:tc>
          <w:tcPr>
            <w:tcW w:type="dxa" w:w="6480"/>
            <w:tcMar>
              <w:top w:w="60" w:type="dxa"/>
              <w:left w:w="110" w:type="dxa"/>
              <w:bottom w:w="60" w:type="dxa"/>
              <w:right w:w="110" w:type="dxa"/>
            </w:tcMar>
            <w:vAlign w:val="top"/>
          </w:tcPr>
          <w:p>
            <w:pPr>
              <w:spacing w:after="20"/>
            </w:pPr>
            <w:r>
              <w:rPr>
                <w:sz w:val="19"/>
              </w:rPr>
              <w:t>EQR-10 (page copy) · EQR-11 (mobile) · EQR-07 (Dispute Explorer) · EQR-12 (forms)</w:t>
            </w:r>
          </w:p>
        </w:tc>
      </w:tr>
    </w:tbl>
    <w:p>
      <w:pPr>
        <w:spacing w:after="40"/>
      </w:pPr>
    </w:p>
    <w:p/>
    <w:p>
      <w:pPr>
        <w:pStyle w:val="Heading1"/>
      </w:pPr>
      <w:r>
        <w:t>Contents</w:t>
      </w:r>
    </w:p>
    <w:p>
      <w:r>
        <w:rPr>
          <w:color w:val="5A6B7B"/>
          <w:sz w:val="16"/>
        </w:rPr>
        <w:fldChar w:fldCharType="begin"/>
        <w:instrText xml:space="preserve">TOC \o "1-3" \h \z \u</w:instrText>
        <w:fldChar w:fldCharType="end"/>
      </w:r>
    </w:p>
    <w:p>
      <w:r>
        <w:rPr>
          <w:i/>
          <w:color w:val="5A6B7B"/>
          <w:sz w:val="17"/>
        </w:rPr>
        <w:t>(Right-click and choose “Update Field”, or press F9, to populate the table of contents.)</w:t>
      </w:r>
    </w:p>
    <w:p>
      <w:r>
        <w:br w:type="page"/>
      </w:r>
    </w:p>
    <w:p>
      <w:pPr>
        <w:pStyle w:val="Heading1"/>
      </w:pPr>
      <w:r>
        <w:t>1. Purpose</w:t>
      </w:r>
    </w:p>
    <w:p>
      <w:pPr>
        <w:spacing w:after="120"/>
      </w:pPr>
      <w:r>
        <w:rPr>
          <w:b w:val="0"/>
        </w:rPr>
        <w:t>This document is the map of the website: what pages exist, how they are grouped in the menu, how users navigate, and what each persona sees after login. It is derived from Equator's existing information architecture (the legacy Equa.Law structure) and rebuilt around the Equator Resolution brand and the modules in EQR-03. EQR-10 supplies the actual page copy; this document supplies the structure.</w:t>
      </w:r>
    </w:p>
    <w:tbl>
      <w:tblPr>
        <w:tblW w:type="auto" w:w="0"/>
        <w:jc w:val="center"/>
        <w:tblLayout w:type="fixed"/>
        <w:tblLook w:firstColumn="1" w:firstRow="1" w:lastColumn="0" w:lastRow="0" w:noHBand="0" w:noVBand="1" w:val="04A0"/>
      </w:tblPr>
      <w:tblGrid>
        <w:gridCol w:w="9360"/>
      </w:tblGrid>
      <w:tr>
        <w:tc>
          <w:tcPr>
            <w:tcW w:type="dxa" w:w="9360"/>
            <w:tcBorders>
              <w:top w:val="single" w:sz="4" w:space="0" w:color="EAF1F6"/>
              <w:left w:val="single" w:sz="26" w:space="0" w:color="1F7A8C"/>
              <w:bottom w:val="single" w:sz="4" w:space="0" w:color="EAF1F6"/>
              <w:right w:val="single" w:sz="4" w:space="0" w:color="EAF1F6"/>
            </w:tcBorders>
            <w:shd w:val="clear" w:color="auto" w:fill="EAF1F6"/>
            <w:tcMar>
              <w:top w:w="90" w:type="dxa"/>
              <w:left w:w="150" w:type="dxa"/>
              <w:bottom w:w="90" w:type="dxa"/>
              <w:right w:w="150" w:type="dxa"/>
            </w:tcMar>
          </w:tcPr>
          <w:p>
            <w:r>
              <w:rPr>
                <w:b/>
                <w:color w:val="0B2E4F"/>
                <w:sz w:val="19"/>
              </w:rPr>
              <w:t xml:space="preserve">Two websites, one ecosystem.  </w:t>
            </w:r>
            <w:r>
              <w:rPr>
                <w:color w:val="1A1A1A"/>
                <w:sz w:val="19"/>
              </w:rPr>
              <w:t>equatorresolution.com is the platform (resolve, neutrals, integration, case status). equatoradr.com is the Equator ADR Institute — the separate training and certification site. The platform links to the Institute under Training; it does not host courses. Keep the brands and menus distinct but cross-linked.</w:t>
            </w:r>
          </w:p>
        </w:tc>
      </w:tr>
    </w:tbl>
    <w:p>
      <w:pPr>
        <w:spacing w:after="40"/>
      </w:pPr>
    </w:p>
    <w:p>
      <w:pPr>
        <w:pStyle w:val="Heading1"/>
      </w:pPr>
      <w:r>
        <w:t>2. Information Architecture Principles</w:t>
      </w:r>
    </w:p>
    <w:p>
      <w:pPr>
        <w:pStyle w:val="ListNumber"/>
      </w:pPr>
      <w:r>
        <w:t>Persona-first — a visitor should reach their path (resolve / be a neutral / integrate) in one click.</w:t>
      </w:r>
    </w:p>
    <w:p>
      <w:pPr>
        <w:pStyle w:val="ListNumber"/>
      </w:pPr>
      <w:r>
        <w:t>Action-oriented — primary actions (File a Claim, File a Response, Try Dispute Explorer, Request a Demo) are always reachable.</w:t>
      </w:r>
    </w:p>
    <w:p>
      <w:pPr>
        <w:pStyle w:val="ListNumber"/>
      </w:pPr>
      <w:r>
        <w:t>Transparent — rules, fees and policies are public and linked in the footer.</w:t>
      </w:r>
    </w:p>
    <w:p>
      <w:pPr>
        <w:pStyle w:val="ListNumber"/>
      </w:pPr>
      <w:r>
        <w:t>Trust-building — case-status transparency, credentials and outcomes are visible.</w:t>
      </w:r>
    </w:p>
    <w:p>
      <w:pPr>
        <w:pStyle w:val="ListNumber"/>
      </w:pPr>
      <w:r>
        <w:t>Accessible &amp; multilingual — WCAG 2.2 AA; language switcher; low-bandwidth pages.</w:t>
      </w:r>
    </w:p>
    <w:p>
      <w:pPr>
        <w:pStyle w:val="Heading1"/>
      </w:pPr>
      <w:r>
        <w:t>3. Primary Navigation (Menu)</w:t>
      </w:r>
    </w:p>
    <w:p>
      <w:pPr>
        <w:spacing w:after="120"/>
      </w:pPr>
      <w:r>
        <w:rPr>
          <w:b w:val="0"/>
        </w:rPr>
        <w:t>The top navigation mirrors and extends the existing structure. Five primary menus plus persistent actions.</w:t>
      </w:r>
    </w:p>
    <w:tbl>
      <w:tblPr>
        <w:tblW w:type="auto" w:w="0"/>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firstColumn="1" w:firstRow="1" w:lastColumn="0" w:lastRow="0" w:noHBand="0" w:noVBand="1" w:val="04A0"/>
      </w:tblPr>
      <w:tblGrid>
        <w:gridCol w:w="4680"/>
        <w:gridCol w:w="4680"/>
      </w:tblGrid>
      <w:tr>
        <w:trPr>
          <w:tblHeader w:val="true"/>
        </w:trPr>
        <w:tc>
          <w:tcPr>
            <w:tcW w:type="dxa" w:w="2160"/>
            <w:shd w:val="clear" w:color="auto" w:fill="0B2E4F"/>
            <w:tcMar>
              <w:top w:w="60" w:type="dxa"/>
              <w:left w:w="110" w:type="dxa"/>
              <w:bottom w:w="60" w:type="dxa"/>
              <w:right w:w="110" w:type="dxa"/>
            </w:tcMar>
            <w:vAlign w:val="center"/>
          </w:tcPr>
          <w:p>
            <w:pPr>
              <w:spacing w:after="20"/>
            </w:pPr>
            <w:r>
              <w:rPr>
                <w:b/>
                <w:color w:val="FFFFFF"/>
                <w:sz w:val="18"/>
              </w:rPr>
              <w:t>Menu</w:t>
            </w:r>
          </w:p>
        </w:tc>
        <w:tc>
          <w:tcPr>
            <w:tcW w:type="dxa" w:w="7200"/>
            <w:shd w:val="clear" w:color="auto" w:fill="0B2E4F"/>
            <w:tcMar>
              <w:top w:w="60" w:type="dxa"/>
              <w:left w:w="110" w:type="dxa"/>
              <w:bottom w:w="60" w:type="dxa"/>
              <w:right w:w="110" w:type="dxa"/>
            </w:tcMar>
            <w:vAlign w:val="center"/>
          </w:tcPr>
          <w:p>
            <w:pPr>
              <w:spacing w:after="20"/>
            </w:pPr>
            <w:r>
              <w:rPr>
                <w:b/>
                <w:color w:val="FFFFFF"/>
                <w:sz w:val="18"/>
              </w:rPr>
              <w:t>Sub-items</w:t>
            </w:r>
          </w:p>
        </w:tc>
      </w:tr>
      <w:tr>
        <w:tc>
          <w:tcPr>
            <w:tcW w:type="dxa" w:w="2160"/>
            <w:tcMar>
              <w:top w:w="60" w:type="dxa"/>
              <w:left w:w="110" w:type="dxa"/>
              <w:bottom w:w="60" w:type="dxa"/>
              <w:right w:w="110" w:type="dxa"/>
            </w:tcMar>
            <w:vAlign w:val="top"/>
          </w:tcPr>
          <w:p>
            <w:pPr>
              <w:spacing w:after="20"/>
            </w:pPr>
            <w:r>
              <w:rPr>
                <w:b/>
                <w:sz w:val="18"/>
              </w:rPr>
              <w:t>Resolve</w:t>
            </w:r>
          </w:p>
        </w:tc>
        <w:tc>
          <w:tcPr>
            <w:tcW w:type="dxa" w:w="7200"/>
            <w:tcMar>
              <w:top w:w="60" w:type="dxa"/>
              <w:left w:w="110" w:type="dxa"/>
              <w:bottom w:w="60" w:type="dxa"/>
              <w:right w:w="110" w:type="dxa"/>
            </w:tcMar>
            <w:vAlign w:val="top"/>
          </w:tcPr>
          <w:p>
            <w:pPr>
              <w:spacing w:after="20"/>
            </w:pPr>
            <w:r>
              <w:rPr>
                <w:sz w:val="18"/>
              </w:rPr>
              <w:t>Dispute Explorer · File a Claim · File a Response · Settlements &amp; Awards · Track My Case</w:t>
            </w:r>
          </w:p>
        </w:tc>
      </w:tr>
      <w:tr>
        <w:tc>
          <w:tcPr>
            <w:tcW w:type="dxa" w:w="2160"/>
            <w:shd w:val="clear" w:color="auto" w:fill="EAF1F6"/>
            <w:tcMar>
              <w:top w:w="60" w:type="dxa"/>
              <w:left w:w="110" w:type="dxa"/>
              <w:bottom w:w="60" w:type="dxa"/>
              <w:right w:w="110" w:type="dxa"/>
            </w:tcMar>
            <w:vAlign w:val="top"/>
          </w:tcPr>
          <w:p>
            <w:pPr>
              <w:spacing w:after="20"/>
            </w:pPr>
            <w:r>
              <w:rPr>
                <w:b/>
                <w:sz w:val="18"/>
              </w:rPr>
              <w:t>Solutions</w:t>
            </w:r>
          </w:p>
        </w:tc>
        <w:tc>
          <w:tcPr>
            <w:tcW w:type="dxa" w:w="7200"/>
            <w:shd w:val="clear" w:color="auto" w:fill="EAF1F6"/>
            <w:tcMar>
              <w:top w:w="60" w:type="dxa"/>
              <w:left w:w="110" w:type="dxa"/>
              <w:bottom w:w="60" w:type="dxa"/>
              <w:right w:w="110" w:type="dxa"/>
            </w:tcMar>
            <w:vAlign w:val="top"/>
          </w:tcPr>
          <w:p>
            <w:pPr>
              <w:spacing w:after="20"/>
            </w:pPr>
            <w:r>
              <w:rPr>
                <w:sz w:val="18"/>
              </w:rPr>
              <w:t>For Private Clients · For ADR Professionals · For Businesses · Practice Areas (modules)</w:t>
            </w:r>
          </w:p>
        </w:tc>
      </w:tr>
      <w:tr>
        <w:tc>
          <w:tcPr>
            <w:tcW w:type="dxa" w:w="2160"/>
            <w:tcMar>
              <w:top w:w="60" w:type="dxa"/>
              <w:left w:w="110" w:type="dxa"/>
              <w:bottom w:w="60" w:type="dxa"/>
              <w:right w:w="110" w:type="dxa"/>
            </w:tcMar>
            <w:vAlign w:val="top"/>
          </w:tcPr>
          <w:p>
            <w:pPr>
              <w:spacing w:after="20"/>
            </w:pPr>
            <w:r>
              <w:rPr>
                <w:b/>
                <w:sz w:val="18"/>
              </w:rPr>
              <w:t>Neutrals</w:t>
            </w:r>
          </w:p>
        </w:tc>
        <w:tc>
          <w:tcPr>
            <w:tcW w:type="dxa" w:w="7200"/>
            <w:tcMar>
              <w:top w:w="60" w:type="dxa"/>
              <w:left w:w="110" w:type="dxa"/>
              <w:bottom w:w="60" w:type="dxa"/>
              <w:right w:w="110" w:type="dxa"/>
            </w:tcMar>
            <w:vAlign w:val="top"/>
          </w:tcPr>
          <w:p>
            <w:pPr>
              <w:spacing w:after="20"/>
            </w:pPr>
            <w:r>
              <w:rPr>
                <w:sz w:val="18"/>
              </w:rPr>
              <w:t>Private ADR Courts · Register as a Neutral · Accreditation · Code of Conduct</w:t>
            </w:r>
          </w:p>
        </w:tc>
      </w:tr>
      <w:tr>
        <w:tc>
          <w:tcPr>
            <w:tcW w:type="dxa" w:w="2160"/>
            <w:shd w:val="clear" w:color="auto" w:fill="EAF1F6"/>
            <w:tcMar>
              <w:top w:w="60" w:type="dxa"/>
              <w:left w:w="110" w:type="dxa"/>
              <w:bottom w:w="60" w:type="dxa"/>
              <w:right w:w="110" w:type="dxa"/>
            </w:tcMar>
            <w:vAlign w:val="top"/>
          </w:tcPr>
          <w:p>
            <w:pPr>
              <w:spacing w:after="20"/>
            </w:pPr>
            <w:r>
              <w:rPr>
                <w:b/>
                <w:sz w:val="18"/>
              </w:rPr>
              <w:t>Training</w:t>
            </w:r>
          </w:p>
        </w:tc>
        <w:tc>
          <w:tcPr>
            <w:tcW w:type="dxa" w:w="7200"/>
            <w:shd w:val="clear" w:color="auto" w:fill="EAF1F6"/>
            <w:tcMar>
              <w:top w:w="60" w:type="dxa"/>
              <w:left w:w="110" w:type="dxa"/>
              <w:bottom w:w="60" w:type="dxa"/>
              <w:right w:w="110" w:type="dxa"/>
            </w:tcMar>
            <w:vAlign w:val="top"/>
          </w:tcPr>
          <w:p>
            <w:pPr>
              <w:spacing w:after="20"/>
            </w:pPr>
            <w:r>
              <w:rPr>
                <w:sz w:val="18"/>
              </w:rPr>
              <w:t>(links to Equator ADR Institute) Mediator · Arbitrator · Negotiation Skills · Case Manager · Peacemaker Certification</w:t>
            </w:r>
          </w:p>
        </w:tc>
      </w:tr>
      <w:tr>
        <w:tc>
          <w:tcPr>
            <w:tcW w:type="dxa" w:w="2160"/>
            <w:tcMar>
              <w:top w:w="60" w:type="dxa"/>
              <w:left w:w="110" w:type="dxa"/>
              <w:bottom w:w="60" w:type="dxa"/>
              <w:right w:w="110" w:type="dxa"/>
            </w:tcMar>
            <w:vAlign w:val="top"/>
          </w:tcPr>
          <w:p>
            <w:pPr>
              <w:spacing w:after="20"/>
            </w:pPr>
            <w:r>
              <w:rPr>
                <w:b/>
                <w:sz w:val="18"/>
              </w:rPr>
              <w:t>Integration</w:t>
            </w:r>
          </w:p>
        </w:tc>
        <w:tc>
          <w:tcPr>
            <w:tcW w:type="dxa" w:w="7200"/>
            <w:tcMar>
              <w:top w:w="60" w:type="dxa"/>
              <w:left w:w="110" w:type="dxa"/>
              <w:bottom w:w="60" w:type="dxa"/>
              <w:right w:w="110" w:type="dxa"/>
            </w:tcMar>
            <w:vAlign w:val="top"/>
          </w:tcPr>
          <w:p>
            <w:pPr>
              <w:spacing w:after="20"/>
            </w:pPr>
            <w:r>
              <w:rPr>
                <w:sz w:val="18"/>
              </w:rPr>
              <w:t>Integrate your Business · Grievance Portals · APIs &amp; Developers · Request a Demo</w:t>
            </w:r>
          </w:p>
        </w:tc>
      </w:tr>
      <w:tr>
        <w:tc>
          <w:tcPr>
            <w:tcW w:type="dxa" w:w="2160"/>
            <w:shd w:val="clear" w:color="auto" w:fill="EAF1F6"/>
            <w:tcMar>
              <w:top w:w="60" w:type="dxa"/>
              <w:left w:w="110" w:type="dxa"/>
              <w:bottom w:w="60" w:type="dxa"/>
              <w:right w:w="110" w:type="dxa"/>
            </w:tcMar>
            <w:vAlign w:val="top"/>
          </w:tcPr>
          <w:p>
            <w:pPr>
              <w:spacing w:after="20"/>
            </w:pPr>
            <w:r>
              <w:rPr>
                <w:b/>
                <w:sz w:val="18"/>
              </w:rPr>
              <w:t>International</w:t>
            </w:r>
          </w:p>
        </w:tc>
        <w:tc>
          <w:tcPr>
            <w:tcW w:type="dxa" w:w="7200"/>
            <w:shd w:val="clear" w:color="auto" w:fill="EAF1F6"/>
            <w:tcMar>
              <w:top w:w="60" w:type="dxa"/>
              <w:left w:w="110" w:type="dxa"/>
              <w:bottom w:w="60" w:type="dxa"/>
              <w:right w:w="110" w:type="dxa"/>
            </w:tcMar>
            <w:vAlign w:val="top"/>
          </w:tcPr>
          <w:p>
            <w:pPr>
              <w:spacing w:after="20"/>
            </w:pPr>
            <w:r>
              <w:rPr>
                <w:sz w:val="18"/>
              </w:rPr>
              <w:t>Global Presence · Country Pages · Cross-Border Disputes · Peacemaker Network</w:t>
            </w:r>
          </w:p>
        </w:tc>
      </w:tr>
    </w:tbl>
    <w:p>
      <w:pPr>
        <w:spacing w:after="40"/>
      </w:pPr>
    </w:p>
    <w:tbl>
      <w:tblPr>
        <w:tblW w:type="auto" w:w="0"/>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firstColumn="1" w:firstRow="1" w:lastColumn="0" w:lastRow="0" w:noHBand="0" w:noVBand="1" w:val="04A0"/>
      </w:tblPr>
      <w:tblGrid>
        <w:gridCol w:w="4680"/>
        <w:gridCol w:w="4680"/>
      </w:tblGrid>
      <w:tr>
        <w:trPr>
          <w:tblHeader w:val="true"/>
        </w:trPr>
        <w:tc>
          <w:tcPr>
            <w:tcW w:type="dxa" w:w="2880"/>
            <w:shd w:val="clear" w:color="auto" w:fill="0B2E4F"/>
            <w:tcMar>
              <w:top w:w="60" w:type="dxa"/>
              <w:left w:w="110" w:type="dxa"/>
              <w:bottom w:w="60" w:type="dxa"/>
              <w:right w:w="110" w:type="dxa"/>
            </w:tcMar>
            <w:vAlign w:val="center"/>
          </w:tcPr>
          <w:p>
            <w:pPr>
              <w:spacing w:after="20"/>
            </w:pPr>
            <w:r>
              <w:rPr>
                <w:b/>
                <w:color w:val="FFFFFF"/>
                <w:sz w:val="18"/>
              </w:rPr>
              <w:t>Persistent actions</w:t>
            </w:r>
          </w:p>
        </w:tc>
        <w:tc>
          <w:tcPr>
            <w:tcW w:type="dxa" w:w="6480"/>
            <w:shd w:val="clear" w:color="auto" w:fill="0B2E4F"/>
            <w:tcMar>
              <w:top w:w="60" w:type="dxa"/>
              <w:left w:w="110" w:type="dxa"/>
              <w:bottom w:w="60" w:type="dxa"/>
              <w:right w:w="110" w:type="dxa"/>
            </w:tcMar>
            <w:vAlign w:val="center"/>
          </w:tcPr>
          <w:p>
            <w:pPr>
              <w:spacing w:after="20"/>
            </w:pPr>
            <w:r>
              <w:rPr>
                <w:b/>
                <w:color w:val="FFFFFF"/>
                <w:sz w:val="18"/>
              </w:rPr>
              <w:t>Purpose</w:t>
            </w:r>
          </w:p>
        </w:tc>
      </w:tr>
      <w:tr>
        <w:tc>
          <w:tcPr>
            <w:tcW w:type="dxa" w:w="2880"/>
            <w:tcMar>
              <w:top w:w="60" w:type="dxa"/>
              <w:left w:w="110" w:type="dxa"/>
              <w:bottom w:w="60" w:type="dxa"/>
              <w:right w:w="110" w:type="dxa"/>
            </w:tcMar>
            <w:vAlign w:val="top"/>
          </w:tcPr>
          <w:p>
            <w:pPr>
              <w:spacing w:after="20"/>
            </w:pPr>
            <w:r>
              <w:rPr>
                <w:b/>
                <w:sz w:val="18"/>
              </w:rPr>
              <w:t>Login / Register</w:t>
            </w:r>
          </w:p>
        </w:tc>
        <w:tc>
          <w:tcPr>
            <w:tcW w:type="dxa" w:w="6480"/>
            <w:tcMar>
              <w:top w:w="60" w:type="dxa"/>
              <w:left w:w="110" w:type="dxa"/>
              <w:bottom w:w="60" w:type="dxa"/>
              <w:right w:w="110" w:type="dxa"/>
            </w:tcMar>
            <w:vAlign w:val="top"/>
          </w:tcPr>
          <w:p>
            <w:pPr>
              <w:spacing w:after="20"/>
            </w:pPr>
            <w:r>
              <w:rPr>
                <w:sz w:val="18"/>
              </w:rPr>
              <w:t>Enter persona dashboard</w:t>
            </w:r>
          </w:p>
        </w:tc>
      </w:tr>
      <w:tr>
        <w:tc>
          <w:tcPr>
            <w:tcW w:type="dxa" w:w="2880"/>
            <w:shd w:val="clear" w:color="auto" w:fill="EAF1F6"/>
            <w:tcMar>
              <w:top w:w="60" w:type="dxa"/>
              <w:left w:w="110" w:type="dxa"/>
              <w:bottom w:w="60" w:type="dxa"/>
              <w:right w:w="110" w:type="dxa"/>
            </w:tcMar>
            <w:vAlign w:val="top"/>
          </w:tcPr>
          <w:p>
            <w:pPr>
              <w:spacing w:after="20"/>
            </w:pPr>
            <w:r>
              <w:rPr>
                <w:b/>
                <w:sz w:val="18"/>
              </w:rPr>
              <w:t>Try Dispute Explorer</w:t>
            </w:r>
          </w:p>
        </w:tc>
        <w:tc>
          <w:tcPr>
            <w:tcW w:type="dxa" w:w="6480"/>
            <w:shd w:val="clear" w:color="auto" w:fill="EAF1F6"/>
            <w:tcMar>
              <w:top w:w="60" w:type="dxa"/>
              <w:left w:w="110" w:type="dxa"/>
              <w:bottom w:w="60" w:type="dxa"/>
              <w:right w:w="110" w:type="dxa"/>
            </w:tcMar>
            <w:vAlign w:val="top"/>
          </w:tcPr>
          <w:p>
            <w:pPr>
              <w:spacing w:after="20"/>
            </w:pPr>
            <w:r>
              <w:rPr>
                <w:sz w:val="18"/>
              </w:rPr>
              <w:t>Free pre-litigation consultation (primary CTA)</w:t>
            </w:r>
          </w:p>
        </w:tc>
      </w:tr>
      <w:tr>
        <w:tc>
          <w:tcPr>
            <w:tcW w:type="dxa" w:w="2880"/>
            <w:tcMar>
              <w:top w:w="60" w:type="dxa"/>
              <w:left w:w="110" w:type="dxa"/>
              <w:bottom w:w="60" w:type="dxa"/>
              <w:right w:w="110" w:type="dxa"/>
            </w:tcMar>
            <w:vAlign w:val="top"/>
          </w:tcPr>
          <w:p>
            <w:pPr>
              <w:spacing w:after="20"/>
            </w:pPr>
            <w:r>
              <w:rPr>
                <w:b/>
                <w:sz w:val="18"/>
              </w:rPr>
              <w:t>File a Claim / File a Response</w:t>
            </w:r>
          </w:p>
        </w:tc>
        <w:tc>
          <w:tcPr>
            <w:tcW w:type="dxa" w:w="6480"/>
            <w:tcMar>
              <w:top w:w="60" w:type="dxa"/>
              <w:left w:w="110" w:type="dxa"/>
              <w:bottom w:w="60" w:type="dxa"/>
              <w:right w:w="110" w:type="dxa"/>
            </w:tcMar>
            <w:vAlign w:val="top"/>
          </w:tcPr>
          <w:p>
            <w:pPr>
              <w:spacing w:after="20"/>
            </w:pPr>
            <w:r>
              <w:rPr>
                <w:sz w:val="18"/>
              </w:rPr>
              <w:t>Direct case actions</w:t>
            </w:r>
          </w:p>
        </w:tc>
      </w:tr>
      <w:tr>
        <w:tc>
          <w:tcPr>
            <w:tcW w:type="dxa" w:w="2880"/>
            <w:shd w:val="clear" w:color="auto" w:fill="EAF1F6"/>
            <w:tcMar>
              <w:top w:w="60" w:type="dxa"/>
              <w:left w:w="110" w:type="dxa"/>
              <w:bottom w:w="60" w:type="dxa"/>
              <w:right w:w="110" w:type="dxa"/>
            </w:tcMar>
            <w:vAlign w:val="top"/>
          </w:tcPr>
          <w:p>
            <w:pPr>
              <w:spacing w:after="20"/>
            </w:pPr>
            <w:r>
              <w:rPr>
                <w:b/>
                <w:sz w:val="18"/>
              </w:rPr>
              <w:t>Language switcher</w:t>
            </w:r>
          </w:p>
        </w:tc>
        <w:tc>
          <w:tcPr>
            <w:tcW w:type="dxa" w:w="6480"/>
            <w:shd w:val="clear" w:color="auto" w:fill="EAF1F6"/>
            <w:tcMar>
              <w:top w:w="60" w:type="dxa"/>
              <w:left w:w="110" w:type="dxa"/>
              <w:bottom w:w="60" w:type="dxa"/>
              <w:right w:w="110" w:type="dxa"/>
            </w:tcMar>
            <w:vAlign w:val="top"/>
          </w:tcPr>
          <w:p>
            <w:pPr>
              <w:spacing w:after="20"/>
            </w:pPr>
            <w:r>
              <w:rPr>
                <w:sz w:val="18"/>
              </w:rPr>
              <w:t>English + Indian languages</w:t>
            </w:r>
          </w:p>
        </w:tc>
      </w:tr>
    </w:tbl>
    <w:p>
      <w:pPr>
        <w:spacing w:after="40"/>
      </w:pPr>
    </w:p>
    <w:p>
      <w:pPr>
        <w:pStyle w:val="Heading1"/>
      </w:pPr>
      <w:r>
        <w:t>4. Full Sitemap</w:t>
      </w:r>
    </w:p>
    <w:p>
      <w:pPr>
        <w:pStyle w:val="Heading2"/>
      </w:pPr>
      <w:r>
        <w:t>4.1 Public / marketing</w:t>
      </w:r>
    </w:p>
    <w:p>
      <w:pPr>
        <w:pStyle w:val="ListBullet"/>
      </w:pPr>
      <w:r>
        <w:rPr>
          <w:b/>
        </w:rPr>
        <w:t xml:space="preserve">Home: </w:t>
      </w:r>
      <w:r>
        <w:t>Hero, Dispute Explorer CTA, how it works, stats, segments, international, integrate, trust.</w:t>
      </w:r>
    </w:p>
    <w:p>
      <w:pPr>
        <w:pStyle w:val="ListBullet"/>
      </w:pPr>
      <w:r>
        <w:rPr>
          <w:b/>
        </w:rPr>
        <w:t xml:space="preserve">Resolve: </w:t>
      </w:r>
      <w:r>
        <w:t>Dispute Explorer, File a Claim, File a Response, Settlements &amp; Awards, Track My Case (case-status explorer).</w:t>
      </w:r>
    </w:p>
    <w:p>
      <w:pPr>
        <w:pStyle w:val="ListBullet"/>
      </w:pPr>
      <w:r>
        <w:rPr>
          <w:b/>
        </w:rPr>
        <w:t xml:space="preserve">Solutions: </w:t>
      </w:r>
      <w:r>
        <w:t>For Private Clients, For ADR Professionals, For Businesses; Practice Areas: Family, NBFC, Commercial/MSME, Grievance/POSH, Consumer, Securities, International.</w:t>
      </w:r>
    </w:p>
    <w:p>
      <w:pPr>
        <w:pStyle w:val="ListBullet"/>
      </w:pPr>
      <w:r>
        <w:rPr>
          <w:b/>
        </w:rPr>
        <w:t xml:space="preserve">Neutrals: </w:t>
      </w:r>
      <w:r>
        <w:t>Private ADR Courts, Register as a Neutral, Accreditation, Code of Conduct.</w:t>
      </w:r>
    </w:p>
    <w:p>
      <w:pPr>
        <w:pStyle w:val="ListBullet"/>
      </w:pPr>
      <w:r>
        <w:rPr>
          <w:b/>
        </w:rPr>
        <w:t xml:space="preserve">Integration: </w:t>
      </w:r>
      <w:r>
        <w:t>Integrate your Business, Grievance Portals, APIs &amp; Developers, Request a Demo.</w:t>
      </w:r>
    </w:p>
    <w:p>
      <w:pPr>
        <w:pStyle w:val="ListBullet"/>
      </w:pPr>
      <w:r>
        <w:rPr>
          <w:b/>
        </w:rPr>
        <w:t xml:space="preserve">International: </w:t>
      </w:r>
      <w:r>
        <w:t>Global Presence, Country pages (India, USA, UK, Canada, Germany, Singapore, UAE, …), Cross-Border Disputes, Peacemaker Network.</w:t>
      </w:r>
    </w:p>
    <w:p>
      <w:pPr>
        <w:pStyle w:val="ListBullet"/>
      </w:pPr>
      <w:r>
        <w:rPr>
          <w:b/>
        </w:rPr>
        <w:t xml:space="preserve">EquaTech: </w:t>
      </w:r>
      <w:r>
        <w:t>Equator AI (Dispute Explorer), SmartExecution, Accessibility.</w:t>
      </w:r>
    </w:p>
    <w:p>
      <w:pPr>
        <w:pStyle w:val="ListBullet"/>
      </w:pPr>
      <w:r>
        <w:rPr>
          <w:b/>
        </w:rPr>
        <w:t xml:space="preserve">Resources: </w:t>
      </w:r>
      <w:r>
        <w:t>Knowledge Base, Methods of ADR, How it Works, ADR Clauses, Practice Areas, Blog, News &amp; Media, R&amp;D Center.</w:t>
      </w:r>
    </w:p>
    <w:p>
      <w:pPr>
        <w:pStyle w:val="ListBullet"/>
      </w:pPr>
      <w:r>
        <w:rPr>
          <w:b/>
        </w:rPr>
        <w:t xml:space="preserve">Rules &amp; Procedure: </w:t>
      </w:r>
      <w:r>
        <w:t>Institutional Rules, Schedule of Fee, Pricing &amp; Refund Policy, Data Compliance, Code of Conduct.</w:t>
      </w:r>
    </w:p>
    <w:p>
      <w:pPr>
        <w:pStyle w:val="ListBullet"/>
      </w:pPr>
      <w:r>
        <w:rPr>
          <w:b/>
        </w:rPr>
        <w:t xml:space="preserve">About: </w:t>
      </w:r>
      <w:r>
        <w:t>About Us, Council, Secretariat, Careers, Internships, Partnerships, Contact, Help &amp; Support.</w:t>
      </w:r>
    </w:p>
    <w:p>
      <w:pPr>
        <w:pStyle w:val="ListBullet"/>
      </w:pPr>
      <w:r>
        <w:rPr>
          <w:b/>
        </w:rPr>
        <w:t xml:space="preserve">Legal: </w:t>
      </w:r>
      <w:r>
        <w:t>Terms &amp; Conditions, Privacy Policy, Cookie Policy, Disclaimer, Grievance Officer (DPDP).</w:t>
      </w:r>
    </w:p>
    <w:p>
      <w:pPr>
        <w:pStyle w:val="Heading2"/>
      </w:pPr>
      <w:r>
        <w:t>4.2 Authenticated / application</w:t>
      </w:r>
    </w:p>
    <w:p>
      <w:pPr>
        <w:pStyle w:val="ListBullet"/>
      </w:pPr>
      <w:r>
        <w:rPr>
          <w:b/>
        </w:rPr>
        <w:t xml:space="preserve">Party portal: </w:t>
      </w:r>
      <w:r>
        <w:t>Dashboard, My Cases, File/Respond, Hearings, Documents (DMS), Payments, e-Sign, Messages, Settlements &amp; Awards.</w:t>
      </w:r>
    </w:p>
    <w:p>
      <w:pPr>
        <w:pStyle w:val="ListBullet"/>
      </w:pPr>
      <w:r>
        <w:rPr>
          <w:b/>
        </w:rPr>
        <w:t xml:space="preserve">Neutral workspace: </w:t>
      </w:r>
      <w:r>
        <w:t>Dashboard, My Cases, Hearings, Drafting, Fees &amp; Payouts, Conflicts, Scorecard, Availability.</w:t>
      </w:r>
    </w:p>
    <w:p>
      <w:pPr>
        <w:pStyle w:val="ListBullet"/>
      </w:pPr>
      <w:r>
        <w:rPr>
          <w:b/>
        </w:rPr>
        <w:t xml:space="preserve">Enterprise console: </w:t>
      </w:r>
      <w:r>
        <w:t>Dashboard, Clauses, Bulk Intake, Grievance/IC workspace, Escalations, API keys, Reports.</w:t>
      </w:r>
    </w:p>
    <w:p>
      <w:pPr>
        <w:pStyle w:val="ListBullet"/>
      </w:pPr>
      <w:r>
        <w:rPr>
          <w:b/>
        </w:rPr>
        <w:t xml:space="preserve">Institution / Private Court admin: </w:t>
      </w:r>
      <w:r>
        <w:t>Empanelment, Allocation rules, Fee schedules, Branding, Reports.</w:t>
      </w:r>
    </w:p>
    <w:p>
      <w:pPr>
        <w:pStyle w:val="ListBullet"/>
      </w:pPr>
      <w:r>
        <w:rPr>
          <w:b/>
        </w:rPr>
        <w:t xml:space="preserve">Platform admin: </w:t>
      </w:r>
      <w:r>
        <w:t>Tenants, KYC review, Rulesets, Templates, Feature flags, Audit.</w:t>
      </w:r>
    </w:p>
    <w:p>
      <w:pPr>
        <w:pStyle w:val="Heading1"/>
      </w:pPr>
      <w:r>
        <w:t>5. Footer Architecture</w:t>
      </w:r>
    </w:p>
    <w:p>
      <w:pPr>
        <w:spacing w:after="120"/>
      </w:pPr>
      <w:r>
        <w:rPr>
          <w:b w:val="0"/>
        </w:rPr>
        <w:t>The footer is the site's index and trust surface; it carries the compliance and rules links regulated clients look for.</w:t>
      </w:r>
    </w:p>
    <w:tbl>
      <w:tblPr>
        <w:tblW w:type="auto" w:w="0"/>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firstColumn="1" w:firstRow="1" w:lastColumn="0" w:lastRow="0" w:noHBand="0" w:noVBand="1" w:val="04A0"/>
      </w:tblPr>
      <w:tblGrid>
        <w:gridCol w:w="4680"/>
        <w:gridCol w:w="4680"/>
      </w:tblGrid>
      <w:tr>
        <w:trPr>
          <w:tblHeader w:val="true"/>
        </w:trPr>
        <w:tc>
          <w:tcPr>
            <w:tcW w:type="dxa" w:w="2160"/>
            <w:shd w:val="clear" w:color="auto" w:fill="0B2E4F"/>
            <w:tcMar>
              <w:top w:w="60" w:type="dxa"/>
              <w:left w:w="110" w:type="dxa"/>
              <w:bottom w:w="60" w:type="dxa"/>
              <w:right w:w="110" w:type="dxa"/>
            </w:tcMar>
            <w:vAlign w:val="center"/>
          </w:tcPr>
          <w:p>
            <w:pPr>
              <w:spacing w:after="20"/>
            </w:pPr>
            <w:r>
              <w:rPr>
                <w:b/>
                <w:color w:val="FFFFFF"/>
                <w:sz w:val="17"/>
              </w:rPr>
              <w:t>Cluster</w:t>
            </w:r>
          </w:p>
        </w:tc>
        <w:tc>
          <w:tcPr>
            <w:tcW w:type="dxa" w:w="7200"/>
            <w:shd w:val="clear" w:color="auto" w:fill="0B2E4F"/>
            <w:tcMar>
              <w:top w:w="60" w:type="dxa"/>
              <w:left w:w="110" w:type="dxa"/>
              <w:bottom w:w="60" w:type="dxa"/>
              <w:right w:w="110" w:type="dxa"/>
            </w:tcMar>
            <w:vAlign w:val="center"/>
          </w:tcPr>
          <w:p>
            <w:pPr>
              <w:spacing w:after="20"/>
            </w:pPr>
            <w:r>
              <w:rPr>
                <w:b/>
                <w:color w:val="FFFFFF"/>
                <w:sz w:val="17"/>
              </w:rPr>
              <w:t>Links</w:t>
            </w:r>
          </w:p>
        </w:tc>
      </w:tr>
      <w:tr>
        <w:tc>
          <w:tcPr>
            <w:tcW w:type="dxa" w:w="2160"/>
            <w:tcMar>
              <w:top w:w="60" w:type="dxa"/>
              <w:left w:w="110" w:type="dxa"/>
              <w:bottom w:w="60" w:type="dxa"/>
              <w:right w:w="110" w:type="dxa"/>
            </w:tcMar>
            <w:vAlign w:val="top"/>
          </w:tcPr>
          <w:p>
            <w:pPr>
              <w:spacing w:after="20"/>
            </w:pPr>
            <w:r>
              <w:rPr>
                <w:b/>
                <w:sz w:val="17"/>
              </w:rPr>
              <w:t>Rules &amp; Procedure</w:t>
            </w:r>
          </w:p>
        </w:tc>
        <w:tc>
          <w:tcPr>
            <w:tcW w:type="dxa" w:w="7200"/>
            <w:tcMar>
              <w:top w:w="60" w:type="dxa"/>
              <w:left w:w="110" w:type="dxa"/>
              <w:bottom w:w="60" w:type="dxa"/>
              <w:right w:w="110" w:type="dxa"/>
            </w:tcMar>
            <w:vAlign w:val="top"/>
          </w:tcPr>
          <w:p>
            <w:pPr>
              <w:spacing w:after="20"/>
            </w:pPr>
            <w:r>
              <w:rPr>
                <w:sz w:val="17"/>
              </w:rPr>
              <w:t>How it Works · Schedule of Fee · ADR Clauses · Institutional Rules · Data Compliance · Pricing &amp; Refund Policy · Code of Conduct</w:t>
            </w:r>
          </w:p>
        </w:tc>
      </w:tr>
      <w:tr>
        <w:tc>
          <w:tcPr>
            <w:tcW w:type="dxa" w:w="2160"/>
            <w:shd w:val="clear" w:color="auto" w:fill="EAF1F6"/>
            <w:tcMar>
              <w:top w:w="60" w:type="dxa"/>
              <w:left w:w="110" w:type="dxa"/>
              <w:bottom w:w="60" w:type="dxa"/>
              <w:right w:w="110" w:type="dxa"/>
            </w:tcMar>
            <w:vAlign w:val="top"/>
          </w:tcPr>
          <w:p>
            <w:pPr>
              <w:spacing w:after="20"/>
            </w:pPr>
            <w:r>
              <w:rPr>
                <w:b/>
                <w:sz w:val="17"/>
              </w:rPr>
              <w:t>Resources</w:t>
            </w:r>
          </w:p>
        </w:tc>
        <w:tc>
          <w:tcPr>
            <w:tcW w:type="dxa" w:w="7200"/>
            <w:shd w:val="clear" w:color="auto" w:fill="EAF1F6"/>
            <w:tcMar>
              <w:top w:w="60" w:type="dxa"/>
              <w:left w:w="110" w:type="dxa"/>
              <w:bottom w:w="60" w:type="dxa"/>
              <w:right w:w="110" w:type="dxa"/>
            </w:tcMar>
            <w:vAlign w:val="top"/>
          </w:tcPr>
          <w:p>
            <w:pPr>
              <w:spacing w:after="20"/>
            </w:pPr>
            <w:r>
              <w:rPr>
                <w:sz w:val="17"/>
              </w:rPr>
              <w:t>Knowledge Base · Methods of ADR · Practice Areas · R&amp;D Center · Blog</w:t>
            </w:r>
          </w:p>
        </w:tc>
      </w:tr>
      <w:tr>
        <w:tc>
          <w:tcPr>
            <w:tcW w:type="dxa" w:w="2160"/>
            <w:tcMar>
              <w:top w:w="60" w:type="dxa"/>
              <w:left w:w="110" w:type="dxa"/>
              <w:bottom w:w="60" w:type="dxa"/>
              <w:right w:w="110" w:type="dxa"/>
            </w:tcMar>
            <w:vAlign w:val="top"/>
          </w:tcPr>
          <w:p>
            <w:pPr>
              <w:spacing w:after="20"/>
            </w:pPr>
            <w:r>
              <w:rPr>
                <w:b/>
                <w:sz w:val="17"/>
              </w:rPr>
              <w:t>About Equator</w:t>
            </w:r>
          </w:p>
        </w:tc>
        <w:tc>
          <w:tcPr>
            <w:tcW w:type="dxa" w:w="7200"/>
            <w:tcMar>
              <w:top w:w="60" w:type="dxa"/>
              <w:left w:w="110" w:type="dxa"/>
              <w:bottom w:w="60" w:type="dxa"/>
              <w:right w:w="110" w:type="dxa"/>
            </w:tcMar>
            <w:vAlign w:val="top"/>
          </w:tcPr>
          <w:p>
            <w:pPr>
              <w:spacing w:after="20"/>
            </w:pPr>
            <w:r>
              <w:rPr>
                <w:sz w:val="17"/>
              </w:rPr>
              <w:t>About Us · Council · Secretariat · Careers · Internship · News &amp; Media · Partnerships · Help &amp; Support</w:t>
            </w:r>
          </w:p>
        </w:tc>
      </w:tr>
      <w:tr>
        <w:tc>
          <w:tcPr>
            <w:tcW w:type="dxa" w:w="2160"/>
            <w:shd w:val="clear" w:color="auto" w:fill="EAF1F6"/>
            <w:tcMar>
              <w:top w:w="60" w:type="dxa"/>
              <w:left w:w="110" w:type="dxa"/>
              <w:bottom w:w="60" w:type="dxa"/>
              <w:right w:w="110" w:type="dxa"/>
            </w:tcMar>
            <w:vAlign w:val="top"/>
          </w:tcPr>
          <w:p>
            <w:pPr>
              <w:spacing w:after="20"/>
            </w:pPr>
            <w:r>
              <w:rPr>
                <w:b/>
                <w:sz w:val="17"/>
              </w:rPr>
              <w:t>Resolution</w:t>
            </w:r>
          </w:p>
        </w:tc>
        <w:tc>
          <w:tcPr>
            <w:tcW w:type="dxa" w:w="7200"/>
            <w:shd w:val="clear" w:color="auto" w:fill="EAF1F6"/>
            <w:tcMar>
              <w:top w:w="60" w:type="dxa"/>
              <w:left w:w="110" w:type="dxa"/>
              <w:bottom w:w="60" w:type="dxa"/>
              <w:right w:w="110" w:type="dxa"/>
            </w:tcMar>
            <w:vAlign w:val="top"/>
          </w:tcPr>
          <w:p>
            <w:pPr>
              <w:spacing w:after="20"/>
            </w:pPr>
            <w:r>
              <w:rPr>
                <w:sz w:val="17"/>
              </w:rPr>
              <w:t>Equator Advantage · Services · EquaSpaces (physical centres)</w:t>
            </w:r>
          </w:p>
        </w:tc>
      </w:tr>
      <w:tr>
        <w:tc>
          <w:tcPr>
            <w:tcW w:type="dxa" w:w="2160"/>
            <w:tcMar>
              <w:top w:w="60" w:type="dxa"/>
              <w:left w:w="110" w:type="dxa"/>
              <w:bottom w:w="60" w:type="dxa"/>
              <w:right w:w="110" w:type="dxa"/>
            </w:tcMar>
            <w:vAlign w:val="top"/>
          </w:tcPr>
          <w:p>
            <w:pPr>
              <w:spacing w:after="20"/>
            </w:pPr>
            <w:r>
              <w:rPr>
                <w:b/>
                <w:sz w:val="17"/>
              </w:rPr>
              <w:t>International</w:t>
            </w:r>
          </w:p>
        </w:tc>
        <w:tc>
          <w:tcPr>
            <w:tcW w:type="dxa" w:w="7200"/>
            <w:tcMar>
              <w:top w:w="60" w:type="dxa"/>
              <w:left w:w="110" w:type="dxa"/>
              <w:bottom w:w="60" w:type="dxa"/>
              <w:right w:w="110" w:type="dxa"/>
            </w:tcMar>
            <w:vAlign w:val="top"/>
          </w:tcPr>
          <w:p>
            <w:pPr>
              <w:spacing w:after="20"/>
            </w:pPr>
            <w:r>
              <w:rPr>
                <w:sz w:val="17"/>
              </w:rPr>
              <w:t>Global Presence · Outreach &amp; Scope · Global Impact · Peacemaker Network</w:t>
            </w:r>
          </w:p>
        </w:tc>
      </w:tr>
      <w:tr>
        <w:tc>
          <w:tcPr>
            <w:tcW w:type="dxa" w:w="2160"/>
            <w:shd w:val="clear" w:color="auto" w:fill="EAF1F6"/>
            <w:tcMar>
              <w:top w:w="60" w:type="dxa"/>
              <w:left w:w="110" w:type="dxa"/>
              <w:bottom w:w="60" w:type="dxa"/>
              <w:right w:w="110" w:type="dxa"/>
            </w:tcMar>
            <w:vAlign w:val="top"/>
          </w:tcPr>
          <w:p>
            <w:pPr>
              <w:spacing w:after="20"/>
            </w:pPr>
            <w:r>
              <w:rPr>
                <w:b/>
                <w:sz w:val="17"/>
              </w:rPr>
              <w:t>EquaTech</w:t>
            </w:r>
          </w:p>
        </w:tc>
        <w:tc>
          <w:tcPr>
            <w:tcW w:type="dxa" w:w="7200"/>
            <w:shd w:val="clear" w:color="auto" w:fill="EAF1F6"/>
            <w:tcMar>
              <w:top w:w="60" w:type="dxa"/>
              <w:left w:w="110" w:type="dxa"/>
              <w:bottom w:w="60" w:type="dxa"/>
              <w:right w:w="110" w:type="dxa"/>
            </w:tcMar>
            <w:vAlign w:val="top"/>
          </w:tcPr>
          <w:p>
            <w:pPr>
              <w:spacing w:after="20"/>
            </w:pPr>
            <w:r>
              <w:rPr>
                <w:sz w:val="17"/>
              </w:rPr>
              <w:t>Equator AI · SmartExecution · Accessibility</w:t>
            </w:r>
          </w:p>
        </w:tc>
      </w:tr>
      <w:tr>
        <w:tc>
          <w:tcPr>
            <w:tcW w:type="dxa" w:w="2160"/>
            <w:tcMar>
              <w:top w:w="60" w:type="dxa"/>
              <w:left w:w="110" w:type="dxa"/>
              <w:bottom w:w="60" w:type="dxa"/>
              <w:right w:w="110" w:type="dxa"/>
            </w:tcMar>
            <w:vAlign w:val="top"/>
          </w:tcPr>
          <w:p>
            <w:pPr>
              <w:spacing w:after="20"/>
            </w:pPr>
            <w:r>
              <w:rPr>
                <w:b/>
                <w:sz w:val="17"/>
              </w:rPr>
              <w:t>Solutions</w:t>
            </w:r>
          </w:p>
        </w:tc>
        <w:tc>
          <w:tcPr>
            <w:tcW w:type="dxa" w:w="7200"/>
            <w:tcMar>
              <w:top w:w="60" w:type="dxa"/>
              <w:left w:w="110" w:type="dxa"/>
              <w:bottom w:w="60" w:type="dxa"/>
              <w:right w:w="110" w:type="dxa"/>
            </w:tcMar>
            <w:vAlign w:val="top"/>
          </w:tcPr>
          <w:p>
            <w:pPr>
              <w:spacing w:after="20"/>
            </w:pPr>
            <w:r>
              <w:rPr>
                <w:sz w:val="17"/>
              </w:rPr>
              <w:t>For Private Clients · For ADR Professionals · For Businesses</w:t>
            </w:r>
          </w:p>
        </w:tc>
      </w:tr>
      <w:tr>
        <w:tc>
          <w:tcPr>
            <w:tcW w:type="dxa" w:w="2160"/>
            <w:shd w:val="clear" w:color="auto" w:fill="EAF1F6"/>
            <w:tcMar>
              <w:top w:w="60" w:type="dxa"/>
              <w:left w:w="110" w:type="dxa"/>
              <w:bottom w:w="60" w:type="dxa"/>
              <w:right w:w="110" w:type="dxa"/>
            </w:tcMar>
            <w:vAlign w:val="top"/>
          </w:tcPr>
          <w:p>
            <w:pPr>
              <w:spacing w:after="20"/>
            </w:pPr>
            <w:r>
              <w:rPr>
                <w:b/>
                <w:sz w:val="17"/>
              </w:rPr>
              <w:t>Direct links</w:t>
            </w:r>
          </w:p>
        </w:tc>
        <w:tc>
          <w:tcPr>
            <w:tcW w:type="dxa" w:w="7200"/>
            <w:shd w:val="clear" w:color="auto" w:fill="EAF1F6"/>
            <w:tcMar>
              <w:top w:w="60" w:type="dxa"/>
              <w:left w:w="110" w:type="dxa"/>
              <w:bottom w:w="60" w:type="dxa"/>
              <w:right w:w="110" w:type="dxa"/>
            </w:tcMar>
            <w:vAlign w:val="top"/>
          </w:tcPr>
          <w:p>
            <w:pPr>
              <w:spacing w:after="20"/>
            </w:pPr>
            <w:r>
              <w:rPr>
                <w:sz w:val="17"/>
              </w:rPr>
              <w:t>Blog · Private ADR Courts · Grievance Portal · Institute (equatoradr.com) · LawDocs</w:t>
            </w:r>
          </w:p>
        </w:tc>
      </w:tr>
      <w:tr>
        <w:tc>
          <w:tcPr>
            <w:tcW w:type="dxa" w:w="2160"/>
            <w:tcMar>
              <w:top w:w="60" w:type="dxa"/>
              <w:left w:w="110" w:type="dxa"/>
              <w:bottom w:w="60" w:type="dxa"/>
              <w:right w:w="110" w:type="dxa"/>
            </w:tcMar>
            <w:vAlign w:val="top"/>
          </w:tcPr>
          <w:p>
            <w:pPr>
              <w:spacing w:after="20"/>
            </w:pPr>
            <w:r>
              <w:rPr>
                <w:b/>
                <w:sz w:val="17"/>
              </w:rPr>
              <w:t>Legal</w:t>
            </w:r>
          </w:p>
        </w:tc>
        <w:tc>
          <w:tcPr>
            <w:tcW w:type="dxa" w:w="7200"/>
            <w:tcMar>
              <w:top w:w="60" w:type="dxa"/>
              <w:left w:w="110" w:type="dxa"/>
              <w:bottom w:w="60" w:type="dxa"/>
              <w:right w:w="110" w:type="dxa"/>
            </w:tcMar>
            <w:vAlign w:val="top"/>
          </w:tcPr>
          <w:p>
            <w:pPr>
              <w:spacing w:after="20"/>
            </w:pPr>
            <w:r>
              <w:rPr>
                <w:sz w:val="17"/>
              </w:rPr>
              <w:t>Terms · Privacy · Cookies · Disclaimer · Grievance Officer (DPDP)</w:t>
            </w:r>
          </w:p>
        </w:tc>
      </w:tr>
    </w:tbl>
    <w:p>
      <w:pPr>
        <w:spacing w:after="40"/>
      </w:pPr>
    </w:p>
    <w:p>
      <w:pPr>
        <w:spacing w:after="120"/>
      </w:pPr>
      <w:r>
        <w:rPr>
          <w:b w:val="0"/>
        </w:rPr>
        <w:t>Base line: “Equator Resolution — a brand owned by Infrabyx Consultancy (OPC) Private Limited. Singapore | New Delhi | New York | London.”</w:t>
      </w:r>
    </w:p>
    <w:p>
      <w:pPr>
        <w:pStyle w:val="Heading1"/>
      </w:pPr>
      <w:r>
        <w:t>6. Persona-Based Dashboards</w:t>
      </w:r>
    </w:p>
    <w:p>
      <w:pPr>
        <w:spacing w:after="120"/>
      </w:pPr>
      <w:r>
        <w:rPr>
          <w:b w:val="0"/>
        </w:rPr>
        <w:t>Different users get different homes. Each dashboard is composed from role-scoped widgets; data is filtered by tenant, case relationship and confidentiality tier.</w:t>
      </w:r>
    </w:p>
    <w:tbl>
      <w:tblPr>
        <w:tblW w:type="auto" w:w="0"/>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firstColumn="1" w:firstRow="1" w:lastColumn="0" w:lastRow="0" w:noHBand="0" w:noVBand="1" w:val="04A0"/>
      </w:tblPr>
      <w:tblGrid>
        <w:gridCol w:w="4680"/>
        <w:gridCol w:w="4680"/>
      </w:tblGrid>
      <w:tr>
        <w:trPr>
          <w:tblHeader w:val="true"/>
        </w:trPr>
        <w:tc>
          <w:tcPr>
            <w:tcW w:type="dxa" w:w="2304"/>
            <w:shd w:val="clear" w:color="auto" w:fill="0B2E4F"/>
            <w:tcMar>
              <w:top w:w="60" w:type="dxa"/>
              <w:left w:w="110" w:type="dxa"/>
              <w:bottom w:w="60" w:type="dxa"/>
              <w:right w:w="110" w:type="dxa"/>
            </w:tcMar>
            <w:vAlign w:val="center"/>
          </w:tcPr>
          <w:p>
            <w:pPr>
              <w:spacing w:after="20"/>
            </w:pPr>
            <w:r>
              <w:rPr>
                <w:b/>
                <w:color w:val="FFFFFF"/>
                <w:sz w:val="17"/>
              </w:rPr>
              <w:t>Persona</w:t>
            </w:r>
          </w:p>
        </w:tc>
        <w:tc>
          <w:tcPr>
            <w:tcW w:type="dxa" w:w="7056"/>
            <w:shd w:val="clear" w:color="auto" w:fill="0B2E4F"/>
            <w:tcMar>
              <w:top w:w="60" w:type="dxa"/>
              <w:left w:w="110" w:type="dxa"/>
              <w:bottom w:w="60" w:type="dxa"/>
              <w:right w:w="110" w:type="dxa"/>
            </w:tcMar>
            <w:vAlign w:val="center"/>
          </w:tcPr>
          <w:p>
            <w:pPr>
              <w:spacing w:after="20"/>
            </w:pPr>
            <w:r>
              <w:rPr>
                <w:b/>
                <w:color w:val="FFFFFF"/>
                <w:sz w:val="17"/>
              </w:rPr>
              <w:t>Dashboard widgets</w:t>
            </w:r>
          </w:p>
        </w:tc>
      </w:tr>
      <w:tr>
        <w:tc>
          <w:tcPr>
            <w:tcW w:type="dxa" w:w="2304"/>
            <w:tcMar>
              <w:top w:w="60" w:type="dxa"/>
              <w:left w:w="110" w:type="dxa"/>
              <w:bottom w:w="60" w:type="dxa"/>
              <w:right w:w="110" w:type="dxa"/>
            </w:tcMar>
            <w:vAlign w:val="top"/>
          </w:tcPr>
          <w:p>
            <w:pPr>
              <w:spacing w:after="20"/>
            </w:pPr>
            <w:r>
              <w:rPr>
                <w:b/>
                <w:sz w:val="17"/>
              </w:rPr>
              <w:t>Party</w:t>
            </w:r>
          </w:p>
        </w:tc>
        <w:tc>
          <w:tcPr>
            <w:tcW w:type="dxa" w:w="7056"/>
            <w:tcMar>
              <w:top w:w="60" w:type="dxa"/>
              <w:left w:w="110" w:type="dxa"/>
              <w:bottom w:w="60" w:type="dxa"/>
              <w:right w:w="110" w:type="dxa"/>
            </w:tcMar>
            <w:vAlign w:val="top"/>
          </w:tcPr>
          <w:p>
            <w:pPr>
              <w:spacing w:after="20"/>
            </w:pPr>
            <w:r>
              <w:rPr>
                <w:sz w:val="17"/>
              </w:rPr>
              <w:t>Active cases + stage/clock, next action, hearings, unread messages, payments due, documents, Dispute Explorer</w:t>
            </w:r>
          </w:p>
        </w:tc>
      </w:tr>
      <w:tr>
        <w:tc>
          <w:tcPr>
            <w:tcW w:type="dxa" w:w="2304"/>
            <w:shd w:val="clear" w:color="auto" w:fill="EAF1F6"/>
            <w:tcMar>
              <w:top w:w="60" w:type="dxa"/>
              <w:left w:w="110" w:type="dxa"/>
              <w:bottom w:w="60" w:type="dxa"/>
              <w:right w:w="110" w:type="dxa"/>
            </w:tcMar>
            <w:vAlign w:val="top"/>
          </w:tcPr>
          <w:p>
            <w:pPr>
              <w:spacing w:after="20"/>
            </w:pPr>
            <w:r>
              <w:rPr>
                <w:b/>
                <w:sz w:val="17"/>
              </w:rPr>
              <w:t>Counsel</w:t>
            </w:r>
          </w:p>
        </w:tc>
        <w:tc>
          <w:tcPr>
            <w:tcW w:type="dxa" w:w="7056"/>
            <w:shd w:val="clear" w:color="auto" w:fill="EAF1F6"/>
            <w:tcMar>
              <w:top w:w="60" w:type="dxa"/>
              <w:left w:w="110" w:type="dxa"/>
              <w:bottom w:w="60" w:type="dxa"/>
              <w:right w:w="110" w:type="dxa"/>
            </w:tcMar>
            <w:vAlign w:val="top"/>
          </w:tcPr>
          <w:p>
            <w:pPr>
              <w:spacing w:after="20"/>
            </w:pPr>
            <w:r>
              <w:rPr>
                <w:sz w:val="17"/>
              </w:rPr>
              <w:t>Client matters, deadlines, filings to prepare, hearing calendar</w:t>
            </w:r>
          </w:p>
        </w:tc>
      </w:tr>
      <w:tr>
        <w:tc>
          <w:tcPr>
            <w:tcW w:type="dxa" w:w="2304"/>
            <w:tcMar>
              <w:top w:w="60" w:type="dxa"/>
              <w:left w:w="110" w:type="dxa"/>
              <w:bottom w:w="60" w:type="dxa"/>
              <w:right w:w="110" w:type="dxa"/>
            </w:tcMar>
            <w:vAlign w:val="top"/>
          </w:tcPr>
          <w:p>
            <w:pPr>
              <w:spacing w:after="20"/>
            </w:pPr>
            <w:r>
              <w:rPr>
                <w:b/>
                <w:sz w:val="17"/>
              </w:rPr>
              <w:t>Arbitrator</w:t>
            </w:r>
          </w:p>
        </w:tc>
        <w:tc>
          <w:tcPr>
            <w:tcW w:type="dxa" w:w="7056"/>
            <w:tcMar>
              <w:top w:w="60" w:type="dxa"/>
              <w:left w:w="110" w:type="dxa"/>
              <w:bottom w:w="60" w:type="dxa"/>
              <w:right w:w="110" w:type="dxa"/>
            </w:tcMar>
            <w:vAlign w:val="top"/>
          </w:tcPr>
          <w:p>
            <w:pPr>
              <w:spacing w:after="20"/>
            </w:pPr>
            <w:r>
              <w:rPr>
                <w:sz w:val="17"/>
              </w:rPr>
              <w:t>Caseload, award clocks (amber/red), drafting queue, hearings, fees/payouts, conflicts</w:t>
            </w:r>
          </w:p>
        </w:tc>
      </w:tr>
      <w:tr>
        <w:tc>
          <w:tcPr>
            <w:tcW w:type="dxa" w:w="2304"/>
            <w:shd w:val="clear" w:color="auto" w:fill="EAF1F6"/>
            <w:tcMar>
              <w:top w:w="60" w:type="dxa"/>
              <w:left w:w="110" w:type="dxa"/>
              <w:bottom w:w="60" w:type="dxa"/>
              <w:right w:w="110" w:type="dxa"/>
            </w:tcMar>
            <w:vAlign w:val="top"/>
          </w:tcPr>
          <w:p>
            <w:pPr>
              <w:spacing w:after="20"/>
            </w:pPr>
            <w:r>
              <w:rPr>
                <w:b/>
                <w:sz w:val="17"/>
              </w:rPr>
              <w:t>Mediator/Conciliator</w:t>
            </w:r>
          </w:p>
        </w:tc>
        <w:tc>
          <w:tcPr>
            <w:tcW w:type="dxa" w:w="7056"/>
            <w:shd w:val="clear" w:color="auto" w:fill="EAF1F6"/>
            <w:tcMar>
              <w:top w:w="60" w:type="dxa"/>
              <w:left w:w="110" w:type="dxa"/>
              <w:bottom w:w="60" w:type="dxa"/>
              <w:right w:w="110" w:type="dxa"/>
            </w:tcMar>
            <w:vAlign w:val="top"/>
          </w:tcPr>
          <w:p>
            <w:pPr>
              <w:spacing w:after="20"/>
            </w:pPr>
            <w:r>
              <w:rPr>
                <w:sz w:val="17"/>
              </w:rPr>
              <w:t>Sessions, caucus rooms, settlement drafts, clocks, feedback</w:t>
            </w:r>
          </w:p>
        </w:tc>
      </w:tr>
      <w:tr>
        <w:tc>
          <w:tcPr>
            <w:tcW w:type="dxa" w:w="2304"/>
            <w:tcMar>
              <w:top w:w="60" w:type="dxa"/>
              <w:left w:w="110" w:type="dxa"/>
              <w:bottom w:w="60" w:type="dxa"/>
              <w:right w:w="110" w:type="dxa"/>
            </w:tcMar>
            <w:vAlign w:val="top"/>
          </w:tcPr>
          <w:p>
            <w:pPr>
              <w:spacing w:after="20"/>
            </w:pPr>
            <w:r>
              <w:rPr>
                <w:b/>
                <w:sz w:val="17"/>
              </w:rPr>
              <w:t>Case Manager</w:t>
            </w:r>
          </w:p>
        </w:tc>
        <w:tc>
          <w:tcPr>
            <w:tcW w:type="dxa" w:w="7056"/>
            <w:tcMar>
              <w:top w:w="60" w:type="dxa"/>
              <w:left w:w="110" w:type="dxa"/>
              <w:bottom w:w="60" w:type="dxa"/>
              <w:right w:w="110" w:type="dxa"/>
            </w:tcMar>
            <w:vAlign w:val="top"/>
          </w:tcPr>
          <w:p>
            <w:pPr>
              <w:spacing w:after="20"/>
            </w:pPr>
            <w:r>
              <w:rPr>
                <w:sz w:val="17"/>
              </w:rPr>
              <w:t>Case queue, scrutiny/deficiency, scheduling, service status, SLA breaches</w:t>
            </w:r>
          </w:p>
        </w:tc>
      </w:tr>
      <w:tr>
        <w:tc>
          <w:tcPr>
            <w:tcW w:type="dxa" w:w="2304"/>
            <w:shd w:val="clear" w:color="auto" w:fill="EAF1F6"/>
            <w:tcMar>
              <w:top w:w="60" w:type="dxa"/>
              <w:left w:w="110" w:type="dxa"/>
              <w:bottom w:w="60" w:type="dxa"/>
              <w:right w:w="110" w:type="dxa"/>
            </w:tcMar>
            <w:vAlign w:val="top"/>
          </w:tcPr>
          <w:p>
            <w:pPr>
              <w:spacing w:after="20"/>
            </w:pPr>
            <w:r>
              <w:rPr>
                <w:b/>
                <w:sz w:val="17"/>
              </w:rPr>
              <w:t>Enterprise Admin</w:t>
            </w:r>
          </w:p>
        </w:tc>
        <w:tc>
          <w:tcPr>
            <w:tcW w:type="dxa" w:w="7056"/>
            <w:shd w:val="clear" w:color="auto" w:fill="EAF1F6"/>
            <w:tcMar>
              <w:top w:w="60" w:type="dxa"/>
              <w:left w:w="110" w:type="dxa"/>
              <w:bottom w:w="60" w:type="dxa"/>
              <w:right w:w="110" w:type="dxa"/>
            </w:tcMar>
            <w:vAlign w:val="top"/>
          </w:tcPr>
          <w:p>
            <w:pPr>
              <w:spacing w:after="20"/>
            </w:pPr>
            <w:r>
              <w:rPr>
                <w:sz w:val="17"/>
              </w:rPr>
              <w:t>Dispute/grievance volumes, escalations, SLA heatmap, clause coverage, reports</w:t>
            </w:r>
          </w:p>
        </w:tc>
      </w:tr>
      <w:tr>
        <w:tc>
          <w:tcPr>
            <w:tcW w:type="dxa" w:w="2304"/>
            <w:tcMar>
              <w:top w:w="60" w:type="dxa"/>
              <w:left w:w="110" w:type="dxa"/>
              <w:bottom w:w="60" w:type="dxa"/>
              <w:right w:w="110" w:type="dxa"/>
            </w:tcMar>
            <w:vAlign w:val="top"/>
          </w:tcPr>
          <w:p>
            <w:pPr>
              <w:spacing w:after="20"/>
            </w:pPr>
            <w:r>
              <w:rPr>
                <w:b/>
                <w:sz w:val="17"/>
              </w:rPr>
              <w:t>IC Member (POSH)</w:t>
            </w:r>
          </w:p>
        </w:tc>
        <w:tc>
          <w:tcPr>
            <w:tcW w:type="dxa" w:w="7056"/>
            <w:tcMar>
              <w:top w:w="60" w:type="dxa"/>
              <w:left w:w="110" w:type="dxa"/>
              <w:bottom w:w="60" w:type="dxa"/>
              <w:right w:w="110" w:type="dxa"/>
            </w:tcMar>
            <w:vAlign w:val="top"/>
          </w:tcPr>
          <w:p>
            <w:pPr>
              <w:spacing w:after="20"/>
            </w:pPr>
            <w:r>
              <w:rPr>
                <w:sz w:val="17"/>
              </w:rPr>
              <w:t>Confidential inquiry queue, 90-day clocks, recommendations (restricted tier)</w:t>
            </w:r>
          </w:p>
        </w:tc>
      </w:tr>
      <w:tr>
        <w:tc>
          <w:tcPr>
            <w:tcW w:type="dxa" w:w="2304"/>
            <w:shd w:val="clear" w:color="auto" w:fill="EAF1F6"/>
            <w:tcMar>
              <w:top w:w="60" w:type="dxa"/>
              <w:left w:w="110" w:type="dxa"/>
              <w:bottom w:w="60" w:type="dxa"/>
              <w:right w:w="110" w:type="dxa"/>
            </w:tcMar>
            <w:vAlign w:val="top"/>
          </w:tcPr>
          <w:p>
            <w:pPr>
              <w:spacing w:after="20"/>
            </w:pPr>
            <w:r>
              <w:rPr>
                <w:b/>
                <w:sz w:val="17"/>
              </w:rPr>
              <w:t>Nodal/Grievance Officer</w:t>
            </w:r>
          </w:p>
        </w:tc>
        <w:tc>
          <w:tcPr>
            <w:tcW w:type="dxa" w:w="7056"/>
            <w:shd w:val="clear" w:color="auto" w:fill="EAF1F6"/>
            <w:tcMar>
              <w:top w:w="60" w:type="dxa"/>
              <w:left w:w="110" w:type="dxa"/>
              <w:bottom w:w="60" w:type="dxa"/>
              <w:right w:w="110" w:type="dxa"/>
            </w:tcMar>
            <w:vAlign w:val="top"/>
          </w:tcPr>
          <w:p>
            <w:pPr>
              <w:spacing w:after="20"/>
            </w:pPr>
            <w:r>
              <w:rPr>
                <w:sz w:val="17"/>
              </w:rPr>
              <w:t>Intake triage, SLA timers, escalations to EDRS</w:t>
            </w:r>
          </w:p>
        </w:tc>
      </w:tr>
      <w:tr>
        <w:tc>
          <w:tcPr>
            <w:tcW w:type="dxa" w:w="2304"/>
            <w:tcMar>
              <w:top w:w="60" w:type="dxa"/>
              <w:left w:w="110" w:type="dxa"/>
              <w:bottom w:w="60" w:type="dxa"/>
              <w:right w:w="110" w:type="dxa"/>
            </w:tcMar>
            <w:vAlign w:val="top"/>
          </w:tcPr>
          <w:p>
            <w:pPr>
              <w:spacing w:after="20"/>
            </w:pPr>
            <w:r>
              <w:rPr>
                <w:b/>
                <w:sz w:val="17"/>
              </w:rPr>
              <w:t>Institution Admin</w:t>
            </w:r>
          </w:p>
        </w:tc>
        <w:tc>
          <w:tcPr>
            <w:tcW w:type="dxa" w:w="7056"/>
            <w:tcMar>
              <w:top w:w="60" w:type="dxa"/>
              <w:left w:w="110" w:type="dxa"/>
              <w:bottom w:w="60" w:type="dxa"/>
              <w:right w:w="110" w:type="dxa"/>
            </w:tcMar>
            <w:vAlign w:val="top"/>
          </w:tcPr>
          <w:p>
            <w:pPr>
              <w:spacing w:after="20"/>
            </w:pPr>
            <w:r>
              <w:rPr>
                <w:sz w:val="17"/>
              </w:rPr>
              <w:t>Panel health, allocation, fee schedules, tenant reports</w:t>
            </w:r>
          </w:p>
        </w:tc>
      </w:tr>
      <w:tr>
        <w:tc>
          <w:tcPr>
            <w:tcW w:type="dxa" w:w="2304"/>
            <w:shd w:val="clear" w:color="auto" w:fill="EAF1F6"/>
            <w:tcMar>
              <w:top w:w="60" w:type="dxa"/>
              <w:left w:w="110" w:type="dxa"/>
              <w:bottom w:w="60" w:type="dxa"/>
              <w:right w:w="110" w:type="dxa"/>
            </w:tcMar>
            <w:vAlign w:val="top"/>
          </w:tcPr>
          <w:p>
            <w:pPr>
              <w:spacing w:after="20"/>
            </w:pPr>
            <w:r>
              <w:rPr>
                <w:b/>
                <w:sz w:val="17"/>
              </w:rPr>
              <w:t>Platform Admin</w:t>
            </w:r>
          </w:p>
        </w:tc>
        <w:tc>
          <w:tcPr>
            <w:tcW w:type="dxa" w:w="7056"/>
            <w:shd w:val="clear" w:color="auto" w:fill="EAF1F6"/>
            <w:tcMar>
              <w:top w:w="60" w:type="dxa"/>
              <w:left w:w="110" w:type="dxa"/>
              <w:bottom w:w="60" w:type="dxa"/>
              <w:right w:w="110" w:type="dxa"/>
            </w:tcMar>
            <w:vAlign w:val="top"/>
          </w:tcPr>
          <w:p>
            <w:pPr>
              <w:spacing w:after="20"/>
            </w:pPr>
            <w:r>
              <w:rPr>
                <w:sz w:val="17"/>
              </w:rPr>
              <w:t>Tenants, KYC, rulesets, audit, incidents, legal-clock board</w:t>
            </w:r>
          </w:p>
        </w:tc>
      </w:tr>
    </w:tbl>
    <w:p>
      <w:pPr>
        <w:spacing w:after="40"/>
      </w:pPr>
    </w:p>
    <w:p>
      <w:pPr>
        <w:pStyle w:val="Heading1"/>
      </w:pPr>
      <w:r>
        <w:t>7. Case-Status Explorer (eCourts / Supreme-Court style)</w:t>
      </w:r>
    </w:p>
    <w:p>
      <w:pPr>
        <w:spacing w:after="120"/>
      </w:pPr>
      <w:r>
        <w:rPr>
          <w:b w:val="0"/>
        </w:rPr>
        <w:t>A first-class transparency feature: a case-status view modelled on the eCourts / Supreme Court case-status services, available publicly (limited) and in full to authorised parties.</w:t>
      </w:r>
    </w:p>
    <w:tbl>
      <w:tblPr>
        <w:tblW w:type="auto" w:w="0"/>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firstColumn="1" w:firstRow="1" w:lastColumn="0" w:lastRow="0" w:noHBand="0" w:noVBand="1" w:val="04A0"/>
      </w:tblPr>
      <w:tblGrid>
        <w:gridCol w:w="3120"/>
        <w:gridCol w:w="3120"/>
        <w:gridCol w:w="3120"/>
      </w:tblGrid>
      <w:tr>
        <w:trPr>
          <w:tblHeader w:val="true"/>
        </w:trPr>
        <w:tc>
          <w:tcPr>
            <w:tcW w:type="dxa" w:w="2016"/>
            <w:shd w:val="clear" w:color="auto" w:fill="0B2E4F"/>
            <w:tcMar>
              <w:top w:w="60" w:type="dxa"/>
              <w:left w:w="110" w:type="dxa"/>
              <w:bottom w:w="60" w:type="dxa"/>
              <w:right w:w="110" w:type="dxa"/>
            </w:tcMar>
            <w:vAlign w:val="center"/>
          </w:tcPr>
          <w:p>
            <w:pPr>
              <w:spacing w:after="20"/>
            </w:pPr>
            <w:r>
              <w:rPr>
                <w:b/>
                <w:color w:val="FFFFFF"/>
                <w:sz w:val="17"/>
              </w:rPr>
              <w:t>View</w:t>
            </w:r>
          </w:p>
        </w:tc>
        <w:tc>
          <w:tcPr>
            <w:tcW w:type="dxa" w:w="2736"/>
            <w:shd w:val="clear" w:color="auto" w:fill="0B2E4F"/>
            <w:tcMar>
              <w:top w:w="60" w:type="dxa"/>
              <w:left w:w="110" w:type="dxa"/>
              <w:bottom w:w="60" w:type="dxa"/>
              <w:right w:w="110" w:type="dxa"/>
            </w:tcMar>
            <w:vAlign w:val="center"/>
          </w:tcPr>
          <w:p>
            <w:pPr>
              <w:spacing w:after="20"/>
            </w:pPr>
            <w:r>
              <w:rPr>
                <w:b/>
                <w:color w:val="FFFFFF"/>
                <w:sz w:val="17"/>
              </w:rPr>
              <w:t>Who</w:t>
            </w:r>
          </w:p>
        </w:tc>
        <w:tc>
          <w:tcPr>
            <w:tcW w:type="dxa" w:w="4608"/>
            <w:shd w:val="clear" w:color="auto" w:fill="0B2E4F"/>
            <w:tcMar>
              <w:top w:w="60" w:type="dxa"/>
              <w:left w:w="110" w:type="dxa"/>
              <w:bottom w:w="60" w:type="dxa"/>
              <w:right w:w="110" w:type="dxa"/>
            </w:tcMar>
            <w:vAlign w:val="center"/>
          </w:tcPr>
          <w:p>
            <w:pPr>
              <w:spacing w:after="20"/>
            </w:pPr>
            <w:r>
              <w:rPr>
                <w:b/>
                <w:color w:val="FFFFFF"/>
                <w:sz w:val="17"/>
              </w:rPr>
              <w:t>Shows</w:t>
            </w:r>
          </w:p>
        </w:tc>
      </w:tr>
      <w:tr>
        <w:tc>
          <w:tcPr>
            <w:tcW w:type="dxa" w:w="2016"/>
            <w:tcMar>
              <w:top w:w="60" w:type="dxa"/>
              <w:left w:w="110" w:type="dxa"/>
              <w:bottom w:w="60" w:type="dxa"/>
              <w:right w:w="110" w:type="dxa"/>
            </w:tcMar>
            <w:vAlign w:val="top"/>
          </w:tcPr>
          <w:p>
            <w:pPr>
              <w:spacing w:after="20"/>
            </w:pPr>
            <w:r>
              <w:rPr>
                <w:b/>
                <w:sz w:val="17"/>
              </w:rPr>
              <w:t>Public status</w:t>
            </w:r>
          </w:p>
        </w:tc>
        <w:tc>
          <w:tcPr>
            <w:tcW w:type="dxa" w:w="2736"/>
            <w:tcMar>
              <w:top w:w="60" w:type="dxa"/>
              <w:left w:w="110" w:type="dxa"/>
              <w:bottom w:w="60" w:type="dxa"/>
              <w:right w:w="110" w:type="dxa"/>
            </w:tcMar>
            <w:vAlign w:val="top"/>
          </w:tcPr>
          <w:p>
            <w:pPr>
              <w:spacing w:after="20"/>
            </w:pPr>
            <w:r>
              <w:rPr>
                <w:sz w:val="17"/>
              </w:rPr>
              <w:t>Anyone with a case number + verification</w:t>
            </w:r>
          </w:p>
        </w:tc>
        <w:tc>
          <w:tcPr>
            <w:tcW w:type="dxa" w:w="4608"/>
            <w:tcMar>
              <w:top w:w="60" w:type="dxa"/>
              <w:left w:w="110" w:type="dxa"/>
              <w:bottom w:w="60" w:type="dxa"/>
              <w:right w:w="110" w:type="dxa"/>
            </w:tcMar>
            <w:vAlign w:val="top"/>
          </w:tcPr>
          <w:p>
            <w:pPr>
              <w:spacing w:after="20"/>
            </w:pPr>
            <w:r>
              <w:rPr>
                <w:sz w:val="17"/>
              </w:rPr>
              <w:t>Stage, next hearing date, high-level status (no confidential content)</w:t>
            </w:r>
          </w:p>
        </w:tc>
      </w:tr>
      <w:tr>
        <w:tc>
          <w:tcPr>
            <w:tcW w:type="dxa" w:w="2016"/>
            <w:shd w:val="clear" w:color="auto" w:fill="EAF1F6"/>
            <w:tcMar>
              <w:top w:w="60" w:type="dxa"/>
              <w:left w:w="110" w:type="dxa"/>
              <w:bottom w:w="60" w:type="dxa"/>
              <w:right w:w="110" w:type="dxa"/>
            </w:tcMar>
            <w:vAlign w:val="top"/>
          </w:tcPr>
          <w:p>
            <w:pPr>
              <w:spacing w:after="20"/>
            </w:pPr>
            <w:r>
              <w:rPr>
                <w:b/>
                <w:sz w:val="17"/>
              </w:rPr>
              <w:t>Party status</w:t>
            </w:r>
          </w:p>
        </w:tc>
        <w:tc>
          <w:tcPr>
            <w:tcW w:type="dxa" w:w="2736"/>
            <w:shd w:val="clear" w:color="auto" w:fill="EAF1F6"/>
            <w:tcMar>
              <w:top w:w="60" w:type="dxa"/>
              <w:left w:w="110" w:type="dxa"/>
              <w:bottom w:w="60" w:type="dxa"/>
              <w:right w:w="110" w:type="dxa"/>
            </w:tcMar>
            <w:vAlign w:val="top"/>
          </w:tcPr>
          <w:p>
            <w:pPr>
              <w:spacing w:after="20"/>
            </w:pPr>
            <w:r>
              <w:rPr>
                <w:sz w:val="17"/>
              </w:rPr>
              <w:t>Authenticated party/counsel</w:t>
            </w:r>
          </w:p>
        </w:tc>
        <w:tc>
          <w:tcPr>
            <w:tcW w:type="dxa" w:w="4608"/>
            <w:shd w:val="clear" w:color="auto" w:fill="EAF1F6"/>
            <w:tcMar>
              <w:top w:w="60" w:type="dxa"/>
              <w:left w:w="110" w:type="dxa"/>
              <w:bottom w:w="60" w:type="dxa"/>
              <w:right w:w="110" w:type="dxa"/>
            </w:tcMar>
            <w:vAlign w:val="top"/>
          </w:tcPr>
          <w:p>
            <w:pPr>
              <w:spacing w:after="20"/>
            </w:pPr>
            <w:r>
              <w:rPr>
                <w:sz w:val="17"/>
              </w:rPr>
              <w:t>Full timeline, orders, documents, clocks, payments, outcome</w:t>
            </w:r>
          </w:p>
        </w:tc>
      </w:tr>
      <w:tr>
        <w:tc>
          <w:tcPr>
            <w:tcW w:type="dxa" w:w="2016"/>
            <w:tcMar>
              <w:top w:w="60" w:type="dxa"/>
              <w:left w:w="110" w:type="dxa"/>
              <w:bottom w:w="60" w:type="dxa"/>
              <w:right w:w="110" w:type="dxa"/>
            </w:tcMar>
            <w:vAlign w:val="top"/>
          </w:tcPr>
          <w:p>
            <w:pPr>
              <w:spacing w:after="20"/>
            </w:pPr>
            <w:r>
              <w:rPr>
                <w:b/>
                <w:sz w:val="17"/>
              </w:rPr>
              <w:t>Institution status</w:t>
            </w:r>
          </w:p>
        </w:tc>
        <w:tc>
          <w:tcPr>
            <w:tcW w:type="dxa" w:w="2736"/>
            <w:tcMar>
              <w:top w:w="60" w:type="dxa"/>
              <w:left w:w="110" w:type="dxa"/>
              <w:bottom w:w="60" w:type="dxa"/>
              <w:right w:w="110" w:type="dxa"/>
            </w:tcMar>
            <w:vAlign w:val="top"/>
          </w:tcPr>
          <w:p>
            <w:pPr>
              <w:spacing w:after="20"/>
            </w:pPr>
            <w:r>
              <w:rPr>
                <w:sz w:val="17"/>
              </w:rPr>
              <w:t>Admin/case manager</w:t>
            </w:r>
          </w:p>
        </w:tc>
        <w:tc>
          <w:tcPr>
            <w:tcW w:type="dxa" w:w="4608"/>
            <w:tcMar>
              <w:top w:w="60" w:type="dxa"/>
              <w:left w:w="110" w:type="dxa"/>
              <w:bottom w:w="60" w:type="dxa"/>
              <w:right w:w="110" w:type="dxa"/>
            </w:tcMar>
            <w:vAlign w:val="top"/>
          </w:tcPr>
          <w:p>
            <w:pPr>
              <w:spacing w:after="20"/>
            </w:pPr>
            <w:r>
              <w:rPr>
                <w:sz w:val="17"/>
              </w:rPr>
              <w:t>Portfolio view, SLA and clock board across cases</w:t>
            </w:r>
          </w:p>
        </w:tc>
      </w:tr>
      <w:tr>
        <w:tc>
          <w:tcPr>
            <w:tcW w:type="dxa" w:w="2016"/>
            <w:shd w:val="clear" w:color="auto" w:fill="EAF1F6"/>
            <w:tcMar>
              <w:top w:w="60" w:type="dxa"/>
              <w:left w:w="110" w:type="dxa"/>
              <w:bottom w:w="60" w:type="dxa"/>
              <w:right w:w="110" w:type="dxa"/>
            </w:tcMar>
            <w:vAlign w:val="top"/>
          </w:tcPr>
          <w:p>
            <w:pPr>
              <w:spacing w:after="20"/>
            </w:pPr>
            <w:r>
              <w:rPr>
                <w:b/>
                <w:sz w:val="17"/>
              </w:rPr>
              <w:t>Regulator view</w:t>
            </w:r>
          </w:p>
        </w:tc>
        <w:tc>
          <w:tcPr>
            <w:tcW w:type="dxa" w:w="2736"/>
            <w:shd w:val="clear" w:color="auto" w:fill="EAF1F6"/>
            <w:tcMar>
              <w:top w:w="60" w:type="dxa"/>
              <w:left w:w="110" w:type="dxa"/>
              <w:bottom w:w="60" w:type="dxa"/>
              <w:right w:w="110" w:type="dxa"/>
            </w:tcMar>
            <w:vAlign w:val="top"/>
          </w:tcPr>
          <w:p>
            <w:pPr>
              <w:spacing w:after="20"/>
            </w:pPr>
            <w:r>
              <w:rPr>
                <w:sz w:val="17"/>
              </w:rPr>
              <w:t>Scoped read-only</w:t>
            </w:r>
          </w:p>
        </w:tc>
        <w:tc>
          <w:tcPr>
            <w:tcW w:type="dxa" w:w="4608"/>
            <w:shd w:val="clear" w:color="auto" w:fill="EAF1F6"/>
            <w:tcMar>
              <w:top w:w="60" w:type="dxa"/>
              <w:left w:w="110" w:type="dxa"/>
              <w:bottom w:w="60" w:type="dxa"/>
              <w:right w:w="110" w:type="dxa"/>
            </w:tcMar>
            <w:vAlign w:val="top"/>
          </w:tcPr>
          <w:p>
            <w:pPr>
              <w:spacing w:after="20"/>
            </w:pPr>
            <w:r>
              <w:rPr>
                <w:sz w:val="17"/>
              </w:rPr>
              <w:t>Specified records for oversight (immutable)</w:t>
            </w:r>
          </w:p>
        </w:tc>
      </w:tr>
    </w:tbl>
    <w:p>
      <w:pPr>
        <w:spacing w:after="40"/>
      </w:pPr>
    </w:p>
    <w:p>
      <w:pPr>
        <w:pStyle w:val="ListBullet"/>
      </w:pPr>
      <w:r>
        <w:rPr>
          <w:b/>
        </w:rPr>
        <w:t xml:space="preserve">Timeline: </w:t>
      </w:r>
      <w:r>
        <w:t>Filed → scrutiny → neutral appointed → notice served → hearings → outcome → execution — each with dates and status chips.</w:t>
      </w:r>
    </w:p>
    <w:p>
      <w:pPr>
        <w:pStyle w:val="ListBullet"/>
      </w:pPr>
      <w:r>
        <w:rPr>
          <w:b/>
        </w:rPr>
        <w:t xml:space="preserve">Search: </w:t>
      </w:r>
      <w:r>
        <w:t>By case number, party, or reference; verification gate for privacy.</w:t>
      </w:r>
    </w:p>
    <w:p>
      <w:pPr>
        <w:pStyle w:val="ListBullet"/>
      </w:pPr>
      <w:r>
        <w:rPr>
          <w:b/>
        </w:rPr>
        <w:t xml:space="preserve">Confidentiality: </w:t>
      </w:r>
      <w:r>
        <w:t>POSH/marital cases hidden from public search; content redacted by tier.</w:t>
      </w:r>
    </w:p>
    <w:p>
      <w:pPr>
        <w:spacing w:before="80" w:after="160"/>
        <w:jc w:val="center"/>
      </w:pPr>
      <w:r>
        <w:rPr>
          <w:b/>
          <w:i/>
          <w:color w:val="1F7A8C"/>
          <w:sz w:val="24"/>
        </w:rPr>
        <w:t>Know where your matter stands — the way you would check a court case status.</w:t>
      </w:r>
    </w:p>
    <w:p>
      <w:pPr>
        <w:pStyle w:val="Heading1"/>
      </w:pPr>
      <w:r>
        <w:t>8. Document Management System (DMS) Views</w:t>
      </w:r>
    </w:p>
    <w:p>
      <w:pPr>
        <w:spacing w:after="120"/>
      </w:pPr>
      <w:r>
        <w:rPr>
          <w:b w:val="0"/>
        </w:rPr>
        <w:t>Every case is a document workspace. The DMS is exposed per persona with tier-aware access.</w:t>
      </w:r>
    </w:p>
    <w:p>
      <w:pPr>
        <w:pStyle w:val="ListBullet"/>
      </w:pPr>
      <w:r>
        <w:rPr>
          <w:b/>
        </w:rPr>
        <w:t xml:space="preserve">Case files: </w:t>
      </w:r>
      <w:r>
        <w:t>Filings, evidence (hashed), orders, notices, outcomes — versioned, searchable.</w:t>
      </w:r>
    </w:p>
    <w:p>
      <w:pPr>
        <w:pStyle w:val="ListBullet"/>
      </w:pPr>
      <w:r>
        <w:rPr>
          <w:b/>
        </w:rPr>
        <w:t xml:space="preserve">Upload &amp; request: </w:t>
      </w:r>
      <w:r>
        <w:t>Party uploads; neutral/case-manager requests specific documents.</w:t>
      </w:r>
    </w:p>
    <w:p>
      <w:pPr>
        <w:pStyle w:val="ListBullet"/>
      </w:pPr>
      <w:r>
        <w:rPr>
          <w:b/>
        </w:rPr>
        <w:t xml:space="preserve">e-Sign &amp; e-Stamp: </w:t>
      </w:r>
      <w:r>
        <w:t>In-place signing and stamping; certificates attached.</w:t>
      </w:r>
    </w:p>
    <w:p>
      <w:pPr>
        <w:pStyle w:val="ListBullet"/>
      </w:pPr>
      <w:r>
        <w:rPr>
          <w:b/>
        </w:rPr>
        <w:t xml:space="preserve">Legal hold &amp; retention: </w:t>
      </w:r>
      <w:r>
        <w:t>Hold during challenge/execution; retention per EQR-14.</w:t>
      </w:r>
    </w:p>
    <w:p>
      <w:pPr>
        <w:pStyle w:val="ListBullet"/>
      </w:pPr>
      <w:r>
        <w:rPr>
          <w:b/>
        </w:rPr>
        <w:t xml:space="preserve">Export: </w:t>
      </w:r>
      <w:r>
        <w:t>Certified copies and execution bundles (EQR-02 §13).</w:t>
      </w:r>
    </w:p>
    <w:p>
      <w:pPr>
        <w:pStyle w:val="Heading1"/>
      </w:pPr>
      <w:r>
        <w:t>9. Page Templates / Wireframe Notes</w:t>
      </w:r>
    </w:p>
    <w:tbl>
      <w:tblPr>
        <w:tblW w:type="auto" w:w="0"/>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firstColumn="1" w:firstRow="1" w:lastColumn="0" w:lastRow="0" w:noHBand="0" w:noVBand="1" w:val="04A0"/>
      </w:tblPr>
      <w:tblGrid>
        <w:gridCol w:w="4680"/>
        <w:gridCol w:w="4680"/>
      </w:tblGrid>
      <w:tr>
        <w:trPr>
          <w:tblHeader w:val="true"/>
        </w:trPr>
        <w:tc>
          <w:tcPr>
            <w:tcW w:type="dxa" w:w="2448"/>
            <w:shd w:val="clear" w:color="auto" w:fill="0B2E4F"/>
            <w:tcMar>
              <w:top w:w="60" w:type="dxa"/>
              <w:left w:w="110" w:type="dxa"/>
              <w:bottom w:w="60" w:type="dxa"/>
              <w:right w:w="110" w:type="dxa"/>
            </w:tcMar>
            <w:vAlign w:val="center"/>
          </w:tcPr>
          <w:p>
            <w:pPr>
              <w:spacing w:after="20"/>
            </w:pPr>
            <w:r>
              <w:rPr>
                <w:b/>
                <w:color w:val="FFFFFF"/>
                <w:sz w:val="17"/>
              </w:rPr>
              <w:t>Template</w:t>
            </w:r>
          </w:p>
        </w:tc>
        <w:tc>
          <w:tcPr>
            <w:tcW w:type="dxa" w:w="6912"/>
            <w:shd w:val="clear" w:color="auto" w:fill="0B2E4F"/>
            <w:tcMar>
              <w:top w:w="60" w:type="dxa"/>
              <w:left w:w="110" w:type="dxa"/>
              <w:bottom w:w="60" w:type="dxa"/>
              <w:right w:w="110" w:type="dxa"/>
            </w:tcMar>
            <w:vAlign w:val="center"/>
          </w:tcPr>
          <w:p>
            <w:pPr>
              <w:spacing w:after="20"/>
            </w:pPr>
            <w:r>
              <w:rPr>
                <w:b/>
                <w:color w:val="FFFFFF"/>
                <w:sz w:val="17"/>
              </w:rPr>
              <w:t>Key elements</w:t>
            </w:r>
          </w:p>
        </w:tc>
      </w:tr>
      <w:tr>
        <w:tc>
          <w:tcPr>
            <w:tcW w:type="dxa" w:w="2448"/>
            <w:tcMar>
              <w:top w:w="60" w:type="dxa"/>
              <w:left w:w="110" w:type="dxa"/>
              <w:bottom w:w="60" w:type="dxa"/>
              <w:right w:w="110" w:type="dxa"/>
            </w:tcMar>
            <w:vAlign w:val="top"/>
          </w:tcPr>
          <w:p>
            <w:pPr>
              <w:spacing w:after="20"/>
            </w:pPr>
            <w:r>
              <w:rPr>
                <w:b/>
                <w:sz w:val="17"/>
              </w:rPr>
              <w:t>Home</w:t>
            </w:r>
          </w:p>
        </w:tc>
        <w:tc>
          <w:tcPr>
            <w:tcW w:type="dxa" w:w="6912"/>
            <w:tcMar>
              <w:top w:w="60" w:type="dxa"/>
              <w:left w:w="110" w:type="dxa"/>
              <w:bottom w:w="60" w:type="dxa"/>
              <w:right w:w="110" w:type="dxa"/>
            </w:tcMar>
            <w:vAlign w:val="top"/>
          </w:tcPr>
          <w:p>
            <w:pPr>
              <w:spacing w:after="20"/>
            </w:pPr>
            <w:r>
              <w:rPr>
                <w:sz w:val="17"/>
              </w:rPr>
              <w:t>Hero + primary CTA (Dispute Explorer), 3-step how-it-works, stats band, segment tiles, international strip, integrate band, trust/logos, footer</w:t>
            </w:r>
          </w:p>
        </w:tc>
      </w:tr>
      <w:tr>
        <w:tc>
          <w:tcPr>
            <w:tcW w:type="dxa" w:w="2448"/>
            <w:shd w:val="clear" w:color="auto" w:fill="EAF1F6"/>
            <w:tcMar>
              <w:top w:w="60" w:type="dxa"/>
              <w:left w:w="110" w:type="dxa"/>
              <w:bottom w:w="60" w:type="dxa"/>
              <w:right w:w="110" w:type="dxa"/>
            </w:tcMar>
            <w:vAlign w:val="top"/>
          </w:tcPr>
          <w:p>
            <w:pPr>
              <w:spacing w:after="20"/>
            </w:pPr>
            <w:r>
              <w:rPr>
                <w:b/>
                <w:sz w:val="17"/>
              </w:rPr>
              <w:t>Segment / Practice Area</w:t>
            </w:r>
          </w:p>
        </w:tc>
        <w:tc>
          <w:tcPr>
            <w:tcW w:type="dxa" w:w="6912"/>
            <w:shd w:val="clear" w:color="auto" w:fill="EAF1F6"/>
            <w:tcMar>
              <w:top w:w="60" w:type="dxa"/>
              <w:left w:w="110" w:type="dxa"/>
              <w:bottom w:w="60" w:type="dxa"/>
              <w:right w:w="110" w:type="dxa"/>
            </w:tcMar>
            <w:vAlign w:val="top"/>
          </w:tcPr>
          <w:p>
            <w:pPr>
              <w:spacing w:after="20"/>
            </w:pPr>
            <w:r>
              <w:rPr>
                <w:sz w:val="17"/>
              </w:rPr>
              <w:t>Problem, method, process steps, fees link, FAQs, start CTA</w:t>
            </w:r>
          </w:p>
        </w:tc>
      </w:tr>
      <w:tr>
        <w:tc>
          <w:tcPr>
            <w:tcW w:type="dxa" w:w="2448"/>
            <w:tcMar>
              <w:top w:w="60" w:type="dxa"/>
              <w:left w:w="110" w:type="dxa"/>
              <w:bottom w:w="60" w:type="dxa"/>
              <w:right w:w="110" w:type="dxa"/>
            </w:tcMar>
            <w:vAlign w:val="top"/>
          </w:tcPr>
          <w:p>
            <w:pPr>
              <w:spacing w:after="20"/>
            </w:pPr>
            <w:r>
              <w:rPr>
                <w:b/>
                <w:sz w:val="17"/>
              </w:rPr>
              <w:t>File a Claim / Response</w:t>
            </w:r>
          </w:p>
        </w:tc>
        <w:tc>
          <w:tcPr>
            <w:tcW w:type="dxa" w:w="6912"/>
            <w:tcMar>
              <w:top w:w="60" w:type="dxa"/>
              <w:left w:w="110" w:type="dxa"/>
              <w:bottom w:w="60" w:type="dxa"/>
              <w:right w:w="110" w:type="dxa"/>
            </w:tcMar>
            <w:vAlign w:val="top"/>
          </w:tcPr>
          <w:p>
            <w:pPr>
              <w:spacing w:after="20"/>
            </w:pPr>
            <w:r>
              <w:rPr>
                <w:sz w:val="17"/>
              </w:rPr>
              <w:t>Guided multi-step form (F5/F9), save-draft, document upload, consent, pay</w:t>
            </w:r>
          </w:p>
        </w:tc>
      </w:tr>
      <w:tr>
        <w:tc>
          <w:tcPr>
            <w:tcW w:type="dxa" w:w="2448"/>
            <w:shd w:val="clear" w:color="auto" w:fill="EAF1F6"/>
            <w:tcMar>
              <w:top w:w="60" w:type="dxa"/>
              <w:left w:w="110" w:type="dxa"/>
              <w:bottom w:w="60" w:type="dxa"/>
              <w:right w:w="110" w:type="dxa"/>
            </w:tcMar>
            <w:vAlign w:val="top"/>
          </w:tcPr>
          <w:p>
            <w:pPr>
              <w:spacing w:after="20"/>
            </w:pPr>
            <w:r>
              <w:rPr>
                <w:b/>
                <w:sz w:val="17"/>
              </w:rPr>
              <w:t>Dispute Explorer</w:t>
            </w:r>
          </w:p>
        </w:tc>
        <w:tc>
          <w:tcPr>
            <w:tcW w:type="dxa" w:w="6912"/>
            <w:shd w:val="clear" w:color="auto" w:fill="EAF1F6"/>
            <w:tcMar>
              <w:top w:w="60" w:type="dxa"/>
              <w:left w:w="110" w:type="dxa"/>
              <w:bottom w:w="60" w:type="dxa"/>
              <w:right w:w="110" w:type="dxa"/>
            </w:tcMar>
            <w:vAlign w:val="top"/>
          </w:tcPr>
          <w:p>
            <w:pPr>
              <w:spacing w:after="20"/>
            </w:pPr>
            <w:r>
              <w:rPr>
                <w:sz w:val="17"/>
              </w:rPr>
              <w:t>Conversational intake, optional upload, report, next-step CTA</w:t>
            </w:r>
          </w:p>
        </w:tc>
      </w:tr>
      <w:tr>
        <w:tc>
          <w:tcPr>
            <w:tcW w:type="dxa" w:w="2448"/>
            <w:tcMar>
              <w:top w:w="60" w:type="dxa"/>
              <w:left w:w="110" w:type="dxa"/>
              <w:bottom w:w="60" w:type="dxa"/>
              <w:right w:w="110" w:type="dxa"/>
            </w:tcMar>
            <w:vAlign w:val="top"/>
          </w:tcPr>
          <w:p>
            <w:pPr>
              <w:spacing w:after="20"/>
            </w:pPr>
            <w:r>
              <w:rPr>
                <w:b/>
                <w:sz w:val="17"/>
              </w:rPr>
              <w:t>Case Status</w:t>
            </w:r>
          </w:p>
        </w:tc>
        <w:tc>
          <w:tcPr>
            <w:tcW w:type="dxa" w:w="6912"/>
            <w:tcMar>
              <w:top w:w="60" w:type="dxa"/>
              <w:left w:w="110" w:type="dxa"/>
              <w:bottom w:w="60" w:type="dxa"/>
              <w:right w:w="110" w:type="dxa"/>
            </w:tcMar>
            <w:vAlign w:val="top"/>
          </w:tcPr>
          <w:p>
            <w:pPr>
              <w:spacing w:after="20"/>
            </w:pPr>
            <w:r>
              <w:rPr>
                <w:sz w:val="17"/>
              </w:rPr>
              <w:t>Search + verification, timeline, documents, actions</w:t>
            </w:r>
          </w:p>
        </w:tc>
      </w:tr>
      <w:tr>
        <w:tc>
          <w:tcPr>
            <w:tcW w:type="dxa" w:w="2448"/>
            <w:shd w:val="clear" w:color="auto" w:fill="EAF1F6"/>
            <w:tcMar>
              <w:top w:w="60" w:type="dxa"/>
              <w:left w:w="110" w:type="dxa"/>
              <w:bottom w:w="60" w:type="dxa"/>
              <w:right w:w="110" w:type="dxa"/>
            </w:tcMar>
            <w:vAlign w:val="top"/>
          </w:tcPr>
          <w:p>
            <w:pPr>
              <w:spacing w:after="20"/>
            </w:pPr>
            <w:r>
              <w:rPr>
                <w:b/>
                <w:sz w:val="17"/>
              </w:rPr>
              <w:t>Neutral profile / Register</w:t>
            </w:r>
          </w:p>
        </w:tc>
        <w:tc>
          <w:tcPr>
            <w:tcW w:type="dxa" w:w="6912"/>
            <w:shd w:val="clear" w:color="auto" w:fill="EAF1F6"/>
            <w:tcMar>
              <w:top w:w="60" w:type="dxa"/>
              <w:left w:w="110" w:type="dxa"/>
              <w:bottom w:w="60" w:type="dxa"/>
              <w:right w:w="110" w:type="dxa"/>
            </w:tcMar>
            <w:vAlign w:val="top"/>
          </w:tcPr>
          <w:p>
            <w:pPr>
              <w:spacing w:after="20"/>
            </w:pPr>
            <w:r>
              <w:rPr>
                <w:sz w:val="17"/>
              </w:rPr>
              <w:t>Credentials, panels, apply/empanel flow</w:t>
            </w:r>
          </w:p>
        </w:tc>
      </w:tr>
      <w:tr>
        <w:tc>
          <w:tcPr>
            <w:tcW w:type="dxa" w:w="2448"/>
            <w:tcMar>
              <w:top w:w="60" w:type="dxa"/>
              <w:left w:w="110" w:type="dxa"/>
              <w:bottom w:w="60" w:type="dxa"/>
              <w:right w:w="110" w:type="dxa"/>
            </w:tcMar>
            <w:vAlign w:val="top"/>
          </w:tcPr>
          <w:p>
            <w:pPr>
              <w:spacing w:after="20"/>
            </w:pPr>
            <w:r>
              <w:rPr>
                <w:b/>
                <w:sz w:val="17"/>
              </w:rPr>
              <w:t>Integration / Developers</w:t>
            </w:r>
          </w:p>
        </w:tc>
        <w:tc>
          <w:tcPr>
            <w:tcW w:type="dxa" w:w="6912"/>
            <w:tcMar>
              <w:top w:w="60" w:type="dxa"/>
              <w:left w:w="110" w:type="dxa"/>
              <w:bottom w:w="60" w:type="dxa"/>
              <w:right w:w="110" w:type="dxa"/>
            </w:tcMar>
            <w:vAlign w:val="top"/>
          </w:tcPr>
          <w:p>
            <w:pPr>
              <w:spacing w:after="20"/>
            </w:pPr>
            <w:r>
              <w:rPr>
                <w:sz w:val="17"/>
              </w:rPr>
              <w:t>Patterns, API reference link, sandbox, request-a-demo</w:t>
            </w:r>
          </w:p>
        </w:tc>
      </w:tr>
      <w:tr>
        <w:tc>
          <w:tcPr>
            <w:tcW w:type="dxa" w:w="2448"/>
            <w:shd w:val="clear" w:color="auto" w:fill="EAF1F6"/>
            <w:tcMar>
              <w:top w:w="60" w:type="dxa"/>
              <w:left w:w="110" w:type="dxa"/>
              <w:bottom w:w="60" w:type="dxa"/>
              <w:right w:w="110" w:type="dxa"/>
            </w:tcMar>
            <w:vAlign w:val="top"/>
          </w:tcPr>
          <w:p>
            <w:pPr>
              <w:spacing w:after="20"/>
            </w:pPr>
            <w:r>
              <w:rPr>
                <w:b/>
                <w:sz w:val="17"/>
              </w:rPr>
              <w:t>Schedule of Fee</w:t>
            </w:r>
          </w:p>
        </w:tc>
        <w:tc>
          <w:tcPr>
            <w:tcW w:type="dxa" w:w="6912"/>
            <w:shd w:val="clear" w:color="auto" w:fill="EAF1F6"/>
            <w:tcMar>
              <w:top w:w="60" w:type="dxa"/>
              <w:left w:w="110" w:type="dxa"/>
              <w:bottom w:w="60" w:type="dxa"/>
              <w:right w:w="110" w:type="dxa"/>
            </w:tcMar>
            <w:vAlign w:val="top"/>
          </w:tcPr>
          <w:p>
            <w:pPr>
              <w:spacing w:after="20"/>
            </w:pPr>
            <w:r>
              <w:rPr>
                <w:sz w:val="17"/>
              </w:rPr>
              <w:t>Published rate cards by pillar; refund policy link</w:t>
            </w:r>
          </w:p>
        </w:tc>
      </w:tr>
    </w:tbl>
    <w:p>
      <w:pPr>
        <w:spacing w:after="40"/>
      </w:pPr>
    </w:p>
    <w:p>
      <w:pPr>
        <w:pStyle w:val="Heading1"/>
      </w:pPr>
      <w:r>
        <w:t>10. Navigation, SEO &amp; Accessibility</w:t>
      </w:r>
    </w:p>
    <w:p>
      <w:pPr>
        <w:pStyle w:val="ListBullet"/>
      </w:pPr>
      <w:r>
        <w:t>Breadcrumbs on all deep pages; consistent primary CTA; sticky action bar on segment pages.</w:t>
      </w:r>
    </w:p>
    <w:p>
      <w:pPr>
        <w:pStyle w:val="ListBullet"/>
      </w:pPr>
      <w:r>
        <w:t>SEO: practice-area and country pages target intent (e.g., ‘online arbitration India’, ‘NRI divorce mediation’).</w:t>
      </w:r>
    </w:p>
    <w:p>
      <w:pPr>
        <w:pStyle w:val="ListBullet"/>
      </w:pPr>
      <w:r>
        <w:t>Accessibility: WCAG 2.2 AA, keyboard navigation, captioned media, language switcher.</w:t>
      </w:r>
    </w:p>
    <w:p>
      <w:pPr>
        <w:pStyle w:val="ListBullet"/>
      </w:pPr>
      <w:r>
        <w:t>Mobile parity: the same IA renders responsively; native apps mirror it (EQR-11).</w:t>
      </w:r>
    </w:p>
    <w:p>
      <w:pPr>
        <w:spacing w:after="120"/>
      </w:pPr>
      <w:r>
        <w:rPr>
          <w:b w:val="0"/>
          <w:color w:val="5A6B7B"/>
          <w:sz w:val="18"/>
        </w:rPr>
        <w:t>End of EQR-09 v2.0.</w:t>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6" w:color="C9D3DC"/>
      </w:pBdr>
      <w:tabs>
        <w:tab w:pos="9360" w:val="right"/>
      </w:tabs>
    </w:pPr>
    <w:r/>
    <w:r>
      <w:rPr>
        <w:color w:val="5A6B7B"/>
        <w:sz w:val="16"/>
      </w:rPr>
      <w:t xml:space="preserve">Confidential — © 2026 Equator Resolution (Infrabyx Consultancy (OPC) Pvt. Ltd.)   </w:t>
    </w:r>
    <w:r>
      <w:rPr>
        <w:color w:val="5A6B7B"/>
        <w:sz w:val="16"/>
      </w:rPr>
      <w:tab/>
      <w:t xml:space="preserve">Page </w:t>
    </w:r>
    <w:r>
      <w:rPr>
        <w:color w:val="5A6B7B"/>
        <w:sz w:val="16"/>
      </w:rPr>
      <w:fldChar w:fldCharType="begin"/>
      <w:instrText xml:space="preserve">PAGE</w:instrText>
      <w:fldChar w:fldCharType="end"/>
    </w:r>
    <w:r>
      <w:rPr>
        <w:color w:val="5A6B7B"/>
        <w:sz w:val="16"/>
      </w:rPr>
      <w:t xml:space="preserve"> of </w:t>
    </w:r>
    <w:r>
      <w:rPr>
        <w:color w:val="5A6B7B"/>
        <w:sz w:val="16"/>
      </w:rPr>
      <w:fldChar w:fldCharType="begin"/>
      <w:instrText xml:space="preserve">NUMPAGES</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6" w:color="C9D3DC"/>
      </w:pBdr>
      <w:jc w:val="left"/>
    </w:pPr>
    <w:r/>
    <w:r>
      <w:rPr>
        <w:rFonts w:ascii="Arial" w:hAnsi="Arial"/>
        <w:color w:val="5A6B7B"/>
        <w:sz w:val="16"/>
      </w:rPr>
      <w:t>EQUATOR RESOLUTION  ·  EQR-09</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Arial" w:hAnsi="Arial"/>
      <w:b/>
      <w:bCs/>
      <w:color w:val="0B2E4F"/>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Arial" w:hAnsi="Arial"/>
      <w:b/>
      <w:bCs/>
      <w:color w:val="0B2E4F"/>
      <w:sz w:val="26"/>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rial" w:hAnsi="Arial"/>
      <w:b/>
      <w:bCs/>
      <w:color w:val="1F7A8C"/>
      <w:sz w:val="23"/>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Theme="majorHAnsi" w:eastAsiaTheme="majorEastAsia" w:hAnsiTheme="majorHAnsi" w:cstheme="majorBidi" w:ascii="Arial" w:hAnsi="Arial"/>
      <w:b/>
      <w:bCs/>
      <w:i/>
      <w:iCs/>
      <w:color w:val="5A6B7B"/>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Arial" w:hAnsi="Arial"/>
      <w:b/>
      <w:color w:val="0B2E4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