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E · WEB, MOBILE &amp; CONTENT</w:t>
      </w:r>
    </w:p>
    <w:p>
      <w:pPr>
        <w:pStyle w:val="Title"/>
        <w:pBdr>
          <w:bottom w:val="single" w:sz="20" w:space="6" w:color="B98A2E"/>
        </w:pBdr>
      </w:pPr>
      <w:r>
        <w:t>Website Content — Page Copy</w:t>
      </w:r>
    </w:p>
    <w:p>
      <w:pPr>
        <w:spacing w:after="280"/>
      </w:pPr>
      <w:r>
        <w:rPr>
          <w:i/>
          <w:color w:val="5A6B7B"/>
          <w:sz w:val="25"/>
        </w:rPr>
        <w:t>Ready-to-use text for every page of equatorresolution.com — headlines, punchlines, body copy and calls-to-action, written in the Equator Resolution voice. Hand this to the web developer alongside EQR-09.</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EQR-10</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Website Content — Page Copy</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(copy deck)</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Head of Marketing / Content</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Voice</w:t>
            </w:r>
          </w:p>
        </w:tc>
        <w:tc>
          <w:tcPr>
            <w:tcW w:type="dxa" w:w="6480"/>
            <w:shd w:val="clear" w:color="auto" w:fill="EAF1F6"/>
            <w:tcMar>
              <w:top w:w="60" w:type="dxa"/>
              <w:left w:w="110" w:type="dxa"/>
              <w:bottom w:w="60" w:type="dxa"/>
              <w:right w:w="110" w:type="dxa"/>
            </w:tcMar>
            <w:vAlign w:val="top"/>
          </w:tcPr>
          <w:p>
            <w:pPr>
              <w:spacing w:after="20"/>
            </w:pPr>
            <w:r>
              <w:rPr>
                <w:sz w:val="19"/>
              </w:rPr>
              <w:t>Calm, credible, human. Short sentences. Action verbs. Punchlines carry momentum.</w:t>
            </w:r>
          </w:p>
        </w:tc>
      </w:tr>
      <w:tr>
        <w:tc>
          <w:tcPr>
            <w:tcW w:type="dxa" w:w="2880"/>
            <w:tcMar>
              <w:top w:w="60" w:type="dxa"/>
              <w:left w:w="110" w:type="dxa"/>
              <w:bottom w:w="60" w:type="dxa"/>
              <w:right w:w="110" w:type="dxa"/>
            </w:tcMar>
            <w:vAlign w:val="top"/>
          </w:tcPr>
          <w:p>
            <w:pPr>
              <w:spacing w:after="20"/>
            </w:pPr>
            <w:r>
              <w:rPr>
                <w:b/>
                <w:sz w:val="19"/>
              </w:rPr>
              <w:t>Companions</w:t>
            </w:r>
          </w:p>
        </w:tc>
        <w:tc>
          <w:tcPr>
            <w:tcW w:type="dxa" w:w="6480"/>
            <w:tcMar>
              <w:top w:w="60" w:type="dxa"/>
              <w:left w:w="110" w:type="dxa"/>
              <w:bottom w:w="60" w:type="dxa"/>
              <w:right w:w="110" w:type="dxa"/>
            </w:tcMar>
            <w:vAlign w:val="top"/>
          </w:tcPr>
          <w:p>
            <w:pPr>
              <w:spacing w:after="20"/>
            </w:pPr>
            <w:r>
              <w:rPr>
                <w:sz w:val="19"/>
              </w:rPr>
              <w:t>EQR-09 (structure/menu) · EQR-07 (Dispute Explorer) · EQR-04 (legal caveats)</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Voice &amp; Punchline Library</w:t>
      </w:r>
    </w:p>
    <w:p>
      <w:pPr>
        <w:spacing w:after="120"/>
      </w:pPr>
      <w:r>
        <w:rPr>
          <w:b w:val="0"/>
        </w:rPr>
        <w:t>Equator Resolution speaks plainly to someone who is stressed and wants a way out. Confident, never boastful; warm, never soft on substance. Below is the reusable punchline library — deploy across hero, sections and buttons.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4896"/>
            <w:shd w:val="clear" w:color="auto" w:fill="0B2E4F"/>
            <w:tcMar>
              <w:top w:w="60" w:type="dxa"/>
              <w:left w:w="110" w:type="dxa"/>
              <w:bottom w:w="60" w:type="dxa"/>
              <w:right w:w="110" w:type="dxa"/>
            </w:tcMar>
            <w:vAlign w:val="center"/>
          </w:tcPr>
          <w:p>
            <w:pPr>
              <w:spacing w:after="20"/>
            </w:pPr>
            <w:r>
              <w:rPr>
                <w:b/>
                <w:color w:val="FFFFFF"/>
                <w:sz w:val="18"/>
              </w:rPr>
              <w:t>Punchline</w:t>
            </w:r>
          </w:p>
        </w:tc>
        <w:tc>
          <w:tcPr>
            <w:tcW w:type="dxa" w:w="4464"/>
            <w:shd w:val="clear" w:color="auto" w:fill="0B2E4F"/>
            <w:tcMar>
              <w:top w:w="60" w:type="dxa"/>
              <w:left w:w="110" w:type="dxa"/>
              <w:bottom w:w="60" w:type="dxa"/>
              <w:right w:w="110" w:type="dxa"/>
            </w:tcMar>
            <w:vAlign w:val="center"/>
          </w:tcPr>
          <w:p>
            <w:pPr>
              <w:spacing w:after="20"/>
            </w:pPr>
            <w:r>
              <w:rPr>
                <w:b/>
                <w:color w:val="FFFFFF"/>
                <w:sz w:val="18"/>
              </w:rPr>
              <w:t>Where to use</w:t>
            </w:r>
          </w:p>
        </w:tc>
      </w:tr>
      <w:tr>
        <w:tc>
          <w:tcPr>
            <w:tcW w:type="dxa" w:w="4896"/>
            <w:tcMar>
              <w:top w:w="60" w:type="dxa"/>
              <w:left w:w="110" w:type="dxa"/>
              <w:bottom w:w="60" w:type="dxa"/>
              <w:right w:w="110" w:type="dxa"/>
            </w:tcMar>
            <w:vAlign w:val="top"/>
          </w:tcPr>
          <w:p>
            <w:pPr>
              <w:spacing w:after="20"/>
            </w:pPr>
            <w:r>
              <w:rPr>
                <w:b/>
                <w:sz w:val="18"/>
              </w:rPr>
              <w:t>The People's Court.</w:t>
            </w:r>
          </w:p>
        </w:tc>
        <w:tc>
          <w:tcPr>
            <w:tcW w:type="dxa" w:w="4464"/>
            <w:tcMar>
              <w:top w:w="60" w:type="dxa"/>
              <w:left w:w="110" w:type="dxa"/>
              <w:bottom w:w="60" w:type="dxa"/>
              <w:right w:w="110" w:type="dxa"/>
            </w:tcMar>
            <w:vAlign w:val="top"/>
          </w:tcPr>
          <w:p>
            <w:pPr>
              <w:spacing w:after="20"/>
            </w:pPr>
            <w:r>
              <w:rPr>
                <w:sz w:val="18"/>
              </w:rPr>
              <w:t>Brand tagline / hero eyebrow</w:t>
            </w:r>
          </w:p>
        </w:tc>
      </w:tr>
      <w:tr>
        <w:tc>
          <w:tcPr>
            <w:tcW w:type="dxa" w:w="4896"/>
            <w:shd w:val="clear" w:color="auto" w:fill="EAF1F6"/>
            <w:tcMar>
              <w:top w:w="60" w:type="dxa"/>
              <w:left w:w="110" w:type="dxa"/>
              <w:bottom w:w="60" w:type="dxa"/>
              <w:right w:w="110" w:type="dxa"/>
            </w:tcMar>
            <w:vAlign w:val="top"/>
          </w:tcPr>
          <w:p>
            <w:pPr>
              <w:spacing w:after="20"/>
            </w:pPr>
            <w:r>
              <w:rPr>
                <w:b/>
                <w:sz w:val="18"/>
              </w:rPr>
              <w:t>Resolve. Revolve.</w:t>
            </w:r>
          </w:p>
        </w:tc>
        <w:tc>
          <w:tcPr>
            <w:tcW w:type="dxa" w:w="4464"/>
            <w:shd w:val="clear" w:color="auto" w:fill="EAF1F6"/>
            <w:tcMar>
              <w:top w:w="60" w:type="dxa"/>
              <w:left w:w="110" w:type="dxa"/>
              <w:bottom w:w="60" w:type="dxa"/>
              <w:right w:w="110" w:type="dxa"/>
            </w:tcMar>
            <w:vAlign w:val="top"/>
          </w:tcPr>
          <w:p>
            <w:pPr>
              <w:spacing w:after="20"/>
            </w:pPr>
            <w:r>
              <w:rPr>
                <w:sz w:val="18"/>
              </w:rPr>
              <w:t>Hero — move on with life</w:t>
            </w:r>
          </w:p>
        </w:tc>
      </w:tr>
      <w:tr>
        <w:tc>
          <w:tcPr>
            <w:tcW w:type="dxa" w:w="4896"/>
            <w:tcMar>
              <w:top w:w="60" w:type="dxa"/>
              <w:left w:w="110" w:type="dxa"/>
              <w:bottom w:w="60" w:type="dxa"/>
              <w:right w:w="110" w:type="dxa"/>
            </w:tcMar>
            <w:vAlign w:val="top"/>
          </w:tcPr>
          <w:p>
            <w:pPr>
              <w:spacing w:after="20"/>
            </w:pPr>
            <w:r>
              <w:rPr>
                <w:b/>
                <w:sz w:val="18"/>
              </w:rPr>
              <w:t>Quick settlement, with your consent.</w:t>
            </w:r>
          </w:p>
        </w:tc>
        <w:tc>
          <w:tcPr>
            <w:tcW w:type="dxa" w:w="4464"/>
            <w:tcMar>
              <w:top w:w="60" w:type="dxa"/>
              <w:left w:w="110" w:type="dxa"/>
              <w:bottom w:w="60" w:type="dxa"/>
              <w:right w:w="110" w:type="dxa"/>
            </w:tcMar>
            <w:vAlign w:val="top"/>
          </w:tcPr>
          <w:p>
            <w:pPr>
              <w:spacing w:after="20"/>
            </w:pPr>
            <w:r>
              <w:rPr>
                <w:sz w:val="18"/>
              </w:rPr>
              <w:t>Hero subhead</w:t>
            </w:r>
          </w:p>
        </w:tc>
      </w:tr>
      <w:tr>
        <w:tc>
          <w:tcPr>
            <w:tcW w:type="dxa" w:w="4896"/>
            <w:shd w:val="clear" w:color="auto" w:fill="EAF1F6"/>
            <w:tcMar>
              <w:top w:w="60" w:type="dxa"/>
              <w:left w:w="110" w:type="dxa"/>
              <w:bottom w:w="60" w:type="dxa"/>
              <w:right w:w="110" w:type="dxa"/>
            </w:tcMar>
            <w:vAlign w:val="top"/>
          </w:tcPr>
          <w:p>
            <w:pPr>
              <w:spacing w:after="20"/>
            </w:pPr>
            <w:r>
              <w:rPr>
                <w:b/>
                <w:sz w:val="18"/>
              </w:rPr>
              <w:t>Settle the matter, now.</w:t>
            </w:r>
          </w:p>
        </w:tc>
        <w:tc>
          <w:tcPr>
            <w:tcW w:type="dxa" w:w="4464"/>
            <w:shd w:val="clear" w:color="auto" w:fill="EAF1F6"/>
            <w:tcMar>
              <w:top w:w="60" w:type="dxa"/>
              <w:left w:w="110" w:type="dxa"/>
              <w:bottom w:w="60" w:type="dxa"/>
              <w:right w:w="110" w:type="dxa"/>
            </w:tcMar>
            <w:vAlign w:val="top"/>
          </w:tcPr>
          <w:p>
            <w:pPr>
              <w:spacing w:after="20"/>
            </w:pPr>
            <w:r>
              <w:rPr>
                <w:sz w:val="18"/>
              </w:rPr>
              <w:t>Primary CTA cluster</w:t>
            </w:r>
          </w:p>
        </w:tc>
      </w:tr>
      <w:tr>
        <w:tc>
          <w:tcPr>
            <w:tcW w:type="dxa" w:w="4896"/>
            <w:tcMar>
              <w:top w:w="60" w:type="dxa"/>
              <w:left w:w="110" w:type="dxa"/>
              <w:bottom w:w="60" w:type="dxa"/>
              <w:right w:w="110" w:type="dxa"/>
            </w:tcMar>
            <w:vAlign w:val="top"/>
          </w:tcPr>
          <w:p>
            <w:pPr>
              <w:spacing w:after="20"/>
            </w:pPr>
            <w:r>
              <w:rPr>
                <w:b/>
                <w:sz w:val="18"/>
              </w:rPr>
              <w:t>Silence means consent — speak up, now.</w:t>
            </w:r>
          </w:p>
        </w:tc>
        <w:tc>
          <w:tcPr>
            <w:tcW w:type="dxa" w:w="4464"/>
            <w:tcMar>
              <w:top w:w="60" w:type="dxa"/>
              <w:left w:w="110" w:type="dxa"/>
              <w:bottom w:w="60" w:type="dxa"/>
              <w:right w:w="110" w:type="dxa"/>
            </w:tcMar>
            <w:vAlign w:val="top"/>
          </w:tcPr>
          <w:p>
            <w:pPr>
              <w:spacing w:after="20"/>
            </w:pPr>
            <w:r>
              <w:rPr>
                <w:sz w:val="18"/>
              </w:rPr>
              <w:t>File a Response CTA</w:t>
            </w:r>
          </w:p>
        </w:tc>
      </w:tr>
      <w:tr>
        <w:tc>
          <w:tcPr>
            <w:tcW w:type="dxa" w:w="4896"/>
            <w:shd w:val="clear" w:color="auto" w:fill="EAF1F6"/>
            <w:tcMar>
              <w:top w:w="60" w:type="dxa"/>
              <w:left w:w="110" w:type="dxa"/>
              <w:bottom w:w="60" w:type="dxa"/>
              <w:right w:w="110" w:type="dxa"/>
            </w:tcMar>
            <w:vAlign w:val="top"/>
          </w:tcPr>
          <w:p>
            <w:pPr>
              <w:spacing w:after="20"/>
            </w:pPr>
            <w:r>
              <w:rPr>
                <w:b/>
                <w:sz w:val="18"/>
              </w:rPr>
              <w:t>Try Dispute Explorer — the pre-litigation consultation, free.</w:t>
            </w:r>
          </w:p>
        </w:tc>
        <w:tc>
          <w:tcPr>
            <w:tcW w:type="dxa" w:w="4464"/>
            <w:shd w:val="clear" w:color="auto" w:fill="EAF1F6"/>
            <w:tcMar>
              <w:top w:w="60" w:type="dxa"/>
              <w:left w:w="110" w:type="dxa"/>
              <w:bottom w:w="60" w:type="dxa"/>
              <w:right w:w="110" w:type="dxa"/>
            </w:tcMar>
            <w:vAlign w:val="top"/>
          </w:tcPr>
          <w:p>
            <w:pPr>
              <w:spacing w:after="20"/>
            </w:pPr>
            <w:r>
              <w:rPr>
                <w:sz w:val="18"/>
              </w:rPr>
              <w:t>Dispute Explorer CTA</w:t>
            </w:r>
          </w:p>
        </w:tc>
      </w:tr>
      <w:tr>
        <w:tc>
          <w:tcPr>
            <w:tcW w:type="dxa" w:w="4896"/>
            <w:tcMar>
              <w:top w:w="60" w:type="dxa"/>
              <w:left w:w="110" w:type="dxa"/>
              <w:bottom w:w="60" w:type="dxa"/>
              <w:right w:w="110" w:type="dxa"/>
            </w:tcMar>
            <w:vAlign w:val="top"/>
          </w:tcPr>
          <w:p>
            <w:pPr>
              <w:spacing w:after="20"/>
            </w:pPr>
            <w:r>
              <w:rPr>
                <w:b/>
                <w:sz w:val="18"/>
              </w:rPr>
              <w:t>Deliver justice.</w:t>
            </w:r>
          </w:p>
        </w:tc>
        <w:tc>
          <w:tcPr>
            <w:tcW w:type="dxa" w:w="4464"/>
            <w:tcMar>
              <w:top w:w="60" w:type="dxa"/>
              <w:left w:w="110" w:type="dxa"/>
              <w:bottom w:w="60" w:type="dxa"/>
              <w:right w:w="110" w:type="dxa"/>
            </w:tcMar>
            <w:vAlign w:val="top"/>
          </w:tcPr>
          <w:p>
            <w:pPr>
              <w:spacing w:after="20"/>
            </w:pPr>
            <w:r>
              <w:rPr>
                <w:sz w:val="18"/>
              </w:rPr>
              <w:t>Neutrals section</w:t>
            </w:r>
          </w:p>
        </w:tc>
      </w:tr>
      <w:tr>
        <w:tc>
          <w:tcPr>
            <w:tcW w:type="dxa" w:w="4896"/>
            <w:shd w:val="clear" w:color="auto" w:fill="EAF1F6"/>
            <w:tcMar>
              <w:top w:w="60" w:type="dxa"/>
              <w:left w:w="110" w:type="dxa"/>
              <w:bottom w:w="60" w:type="dxa"/>
              <w:right w:w="110" w:type="dxa"/>
            </w:tcMar>
            <w:vAlign w:val="top"/>
          </w:tcPr>
          <w:p>
            <w:pPr>
              <w:spacing w:after="20"/>
            </w:pPr>
            <w:r>
              <w:rPr>
                <w:b/>
                <w:sz w:val="18"/>
              </w:rPr>
              <w:t>Resolve from anywhere. As per your country's law.</w:t>
            </w:r>
          </w:p>
        </w:tc>
        <w:tc>
          <w:tcPr>
            <w:tcW w:type="dxa" w:w="4464"/>
            <w:shd w:val="clear" w:color="auto" w:fill="EAF1F6"/>
            <w:tcMar>
              <w:top w:w="60" w:type="dxa"/>
              <w:left w:w="110" w:type="dxa"/>
              <w:bottom w:w="60" w:type="dxa"/>
              <w:right w:w="110" w:type="dxa"/>
            </w:tcMar>
            <w:vAlign w:val="top"/>
          </w:tcPr>
          <w:p>
            <w:pPr>
              <w:spacing w:after="20"/>
            </w:pPr>
            <w:r>
              <w:rPr>
                <w:sz w:val="18"/>
              </w:rPr>
              <w:t>International section</w:t>
            </w:r>
          </w:p>
        </w:tc>
      </w:tr>
      <w:tr>
        <w:tc>
          <w:tcPr>
            <w:tcW w:type="dxa" w:w="4896"/>
            <w:tcMar>
              <w:top w:w="60" w:type="dxa"/>
              <w:left w:w="110" w:type="dxa"/>
              <w:bottom w:w="60" w:type="dxa"/>
              <w:right w:w="110" w:type="dxa"/>
            </w:tcMar>
            <w:vAlign w:val="top"/>
          </w:tcPr>
          <w:p>
            <w:pPr>
              <w:spacing w:after="20"/>
            </w:pPr>
            <w:r>
              <w:rPr>
                <w:b/>
                <w:sz w:val="18"/>
              </w:rPr>
              <w:t>Integrate your business — resolve online, avoid litigation.</w:t>
            </w:r>
          </w:p>
        </w:tc>
        <w:tc>
          <w:tcPr>
            <w:tcW w:type="dxa" w:w="4464"/>
            <w:tcMar>
              <w:top w:w="60" w:type="dxa"/>
              <w:left w:w="110" w:type="dxa"/>
              <w:bottom w:w="60" w:type="dxa"/>
              <w:right w:w="110" w:type="dxa"/>
            </w:tcMar>
            <w:vAlign w:val="top"/>
          </w:tcPr>
          <w:p>
            <w:pPr>
              <w:spacing w:after="20"/>
            </w:pPr>
            <w:r>
              <w:rPr>
                <w:sz w:val="18"/>
              </w:rPr>
              <w:t>Integration section</w:t>
            </w:r>
          </w:p>
        </w:tc>
      </w:tr>
      <w:tr>
        <w:tc>
          <w:tcPr>
            <w:tcW w:type="dxa" w:w="4896"/>
            <w:shd w:val="clear" w:color="auto" w:fill="EAF1F6"/>
            <w:tcMar>
              <w:top w:w="60" w:type="dxa"/>
              <w:left w:w="110" w:type="dxa"/>
              <w:bottom w:w="60" w:type="dxa"/>
              <w:right w:w="110" w:type="dxa"/>
            </w:tcMar>
            <w:vAlign w:val="top"/>
          </w:tcPr>
          <w:p>
            <w:pPr>
              <w:spacing w:after="20"/>
            </w:pPr>
            <w:r>
              <w:rPr>
                <w:b/>
                <w:sz w:val="18"/>
              </w:rPr>
              <w:t>Ensure execution at ground level.</w:t>
            </w:r>
          </w:p>
        </w:tc>
        <w:tc>
          <w:tcPr>
            <w:tcW w:type="dxa" w:w="4464"/>
            <w:shd w:val="clear" w:color="auto" w:fill="EAF1F6"/>
            <w:tcMar>
              <w:top w:w="60" w:type="dxa"/>
              <w:left w:w="110" w:type="dxa"/>
              <w:bottom w:w="60" w:type="dxa"/>
              <w:right w:w="110" w:type="dxa"/>
            </w:tcMar>
            <w:vAlign w:val="top"/>
          </w:tcPr>
          <w:p>
            <w:pPr>
              <w:spacing w:after="20"/>
            </w:pPr>
            <w:r>
              <w:rPr>
                <w:sz w:val="18"/>
              </w:rPr>
              <w:t>SmartExecution / outcomes</w:t>
            </w:r>
          </w:p>
        </w:tc>
      </w:tr>
      <w:tr>
        <w:tc>
          <w:tcPr>
            <w:tcW w:type="dxa" w:w="4896"/>
            <w:tcMar>
              <w:top w:w="60" w:type="dxa"/>
              <w:left w:w="110" w:type="dxa"/>
              <w:bottom w:w="60" w:type="dxa"/>
              <w:right w:w="110" w:type="dxa"/>
            </w:tcMar>
            <w:vAlign w:val="top"/>
          </w:tcPr>
          <w:p>
            <w:pPr>
              <w:spacing w:after="20"/>
            </w:pPr>
            <w:r>
              <w:rPr>
                <w:b/>
                <w:sz w:val="18"/>
              </w:rPr>
              <w:t>Focus on growth, not on disputes.</w:t>
            </w:r>
          </w:p>
        </w:tc>
        <w:tc>
          <w:tcPr>
            <w:tcW w:type="dxa" w:w="4464"/>
            <w:tcMar>
              <w:top w:w="60" w:type="dxa"/>
              <w:left w:w="110" w:type="dxa"/>
              <w:bottom w:w="60" w:type="dxa"/>
              <w:right w:w="110" w:type="dxa"/>
            </w:tcMar>
            <w:vAlign w:val="top"/>
          </w:tcPr>
          <w:p>
            <w:pPr>
              <w:spacing w:after="20"/>
            </w:pPr>
            <w:r>
              <w:rPr>
                <w:sz w:val="18"/>
              </w:rPr>
              <w:t>Business audiences</w:t>
            </w:r>
          </w:p>
        </w:tc>
      </w:tr>
    </w:tbl>
    <w:p>
      <w:pPr>
        <w:spacing w:after="40"/>
      </w:pPr>
    </w:p>
    <w:p>
      <w:pPr>
        <w:pStyle w:val="Heading1"/>
      </w:pPr>
      <w:r>
        <w:t>2. Home</w:t>
      </w:r>
    </w:p>
    <w:p>
      <w:pPr>
        <w:pStyle w:val="Heading2"/>
      </w:pPr>
      <w:r>
        <w:t>2.1 Hero</w:t>
      </w:r>
    </w:p>
    <w:p>
      <w:pPr>
        <w:spacing w:after="120"/>
      </w:pPr>
      <w:r>
        <w:rPr>
          <w:b/>
        </w:rPr>
        <w:t>Eyebrow: The People's Court</w:t>
      </w:r>
    </w:p>
    <w:p>
      <w:pPr>
        <w:spacing w:after="120"/>
      </w:pPr>
      <w:r>
        <w:rPr>
          <w:b/>
        </w:rPr>
        <w:t>Headline: Resolve. Revolve.</w:t>
      </w:r>
    </w:p>
    <w:p>
      <w:pPr>
        <w:spacing w:after="120"/>
      </w:pPr>
      <w:r>
        <w:rPr>
          <w:b w:val="0"/>
        </w:rPr>
        <w:t>Subhead: Quick settlement, with your consent. Resolve any dispute — family, business, lending or workplace — entirely online, with legally-enforceable outcomes. Focus on growth instead of lingering on disputes.</w:t>
      </w:r>
    </w:p>
    <w:p>
      <w:pPr>
        <w:spacing w:after="120"/>
      </w:pPr>
      <w:r>
        <w:rPr>
          <w:b w:val="0"/>
        </w:rPr>
        <w:t>Primary CTA: Try Dispute Explorer (free)  ·  Secondary: File a Claim  ·  Tertiary: File a Response</w:t>
      </w:r>
    </w:p>
    <w:p>
      <w:pPr>
        <w:pStyle w:val="Heading2"/>
      </w:pPr>
      <w:r>
        <w:t>2.2 Trust stats band</w:t>
      </w:r>
    </w:p>
    <w:p>
      <w:pPr>
        <w:pStyle w:val="ListBullet"/>
      </w:pPr>
      <w:r>
        <w:t>Up to 80% saving on litigation cost.</w:t>
      </w:r>
    </w:p>
    <w:p>
      <w:pPr>
        <w:pStyle w:val="ListBullet"/>
      </w:pPr>
      <w:r>
        <w:t>Services starting at ₹999 in India.</w:t>
      </w:r>
    </w:p>
    <w:p>
      <w:pPr>
        <w:pStyle w:val="ListBullet"/>
      </w:pPr>
      <w:r>
        <w:t>Resolution in days, not years.</w:t>
      </w:r>
    </w:p>
    <w:p>
      <w:pPr>
        <w:pStyle w:val="ListBullet"/>
      </w:pPr>
      <w:r>
        <w:t>Settle on your terms — a win-win, not a war.</w:t>
      </w:r>
    </w:p>
    <w:p>
      <w:pPr>
        <w:pStyle w:val="Heading2"/>
      </w:pPr>
      <w:r>
        <w:t>2.3 How it works (3 steps)</w:t>
      </w:r>
    </w:p>
    <w:p>
      <w:pPr>
        <w:pStyle w:val="ListNumber"/>
      </w:pPr>
      <w:r>
        <w:t>Explore — describe your dispute to Dispute Explorer and learn, free, whether and how to pursue it.</w:t>
      </w:r>
    </w:p>
    <w:p>
      <w:pPr>
        <w:pStyle w:val="ListNumber"/>
      </w:pPr>
      <w:r>
        <w:t>File — file a claim (or a response) in minutes; we notify the other side and appoint a neutral.</w:t>
      </w:r>
    </w:p>
    <w:p>
      <w:pPr>
        <w:pStyle w:val="ListNumber"/>
      </w:pPr>
      <w:r>
        <w:t>Resolve — meet online, settle or receive a reasoned award, and have it executed at ground level.</w:t>
      </w:r>
    </w:p>
    <w:p>
      <w:pPr>
        <w:pStyle w:val="Heading2"/>
      </w:pPr>
      <w:r>
        <w:t>2.4 Segment tiles</w:t>
      </w:r>
    </w:p>
    <w:p>
      <w:pPr>
        <w:pStyle w:val="ListBullet"/>
      </w:pPr>
      <w:r>
        <w:rPr>
          <w:b/>
        </w:rPr>
        <w:t xml:space="preserve">Family &amp; Matrimonial: </w:t>
      </w:r>
      <w:r>
        <w:t>Divorce, maintenance, custody and property — resolved with dignity and confidentiality.</w:t>
      </w:r>
    </w:p>
    <w:p>
      <w:pPr>
        <w:pStyle w:val="ListBullet"/>
      </w:pPr>
      <w:r>
        <w:rPr>
          <w:b/>
        </w:rPr>
        <w:t xml:space="preserve">Business &amp; Commercial: </w:t>
      </w:r>
      <w:r>
        <w:t>Contracts, MSME payments and deals — arbitration and mediation that stick.</w:t>
      </w:r>
    </w:p>
    <w:p>
      <w:pPr>
        <w:pStyle w:val="ListBullet"/>
      </w:pPr>
      <w:r>
        <w:rPr>
          <w:b/>
        </w:rPr>
        <w:t xml:space="preserve">Lending &amp; NBFC: </w:t>
      </w:r>
      <w:r>
        <w:t>Fast, fair resolution of loan and repayment disputes, at scale.</w:t>
      </w:r>
    </w:p>
    <w:p>
      <w:pPr>
        <w:pStyle w:val="ListBullet"/>
      </w:pPr>
      <w:r>
        <w:rPr>
          <w:b/>
        </w:rPr>
        <w:t xml:space="preserve">Workplace &amp; POSH: </w:t>
      </w:r>
      <w:r>
        <w:t>A confidential single window for grievances and POSH, with neutral escalation.</w:t>
      </w:r>
    </w:p>
    <w:p>
      <w:pPr>
        <w:pStyle w:val="ListBullet"/>
      </w:pPr>
      <w:r>
        <w:rPr>
          <w:b/>
        </w:rPr>
        <w:t xml:space="preserve">Consumer: </w:t>
      </w:r>
      <w:r>
        <w:t>Refunds and service disputes settled without the courtroom.</w:t>
      </w:r>
    </w:p>
    <w:p>
      <w:pPr>
        <w:pStyle w:val="ListBullet"/>
      </w:pPr>
      <w:r>
        <w:rPr>
          <w:b/>
        </w:rPr>
        <w:t xml:space="preserve">International: </w:t>
      </w:r>
      <w:r>
        <w:t>Cross-border commercial, NRI marriage and export–import disputes.</w:t>
      </w:r>
    </w:p>
    <w:p>
      <w:pPr>
        <w:pStyle w:val="Heading2"/>
      </w:pPr>
      <w:r>
        <w:t>2.5 Neutrals &amp; International &amp; Integration bands</w:t>
      </w:r>
    </w:p>
    <w:p>
      <w:pPr>
        <w:spacing w:after="120"/>
      </w:pPr>
      <w:r>
        <w:rPr>
          <w:b w:val="0"/>
        </w:rPr>
        <w:t>Neutrals band — Headline: Deliver justice. Body: Build your career as an ADR practitioner with Equator. Get empanelled as an arbitrator or mediator, run your own Private ADR Court, and work with clients across India and the world. CTA: Register as a Neutral.</w:t>
      </w:r>
    </w:p>
    <w:p>
      <w:pPr>
        <w:spacing w:after="120"/>
      </w:pPr>
      <w:r>
        <w:rPr>
          <w:b w:val="0"/>
        </w:rPr>
        <w:t>International band — Headline: Resolve from anywhere. Body: As per your country's law. Choose your language. Select a neutral. Ensure execution at ground level. CTA: Explore Global Presence.</w:t>
      </w:r>
    </w:p>
    <w:p>
      <w:pPr>
        <w:spacing w:after="120"/>
      </w:pPr>
      <w:r>
        <w:rPr>
          <w:b w:val="0"/>
        </w:rPr>
        <w:t>Integration band — Headline: Integrate your business, free. Body: Insert the Equator ADR clause in your contracts, let customers resolve online instead of in court, and set up an internal grievance portal. CTA: Integrate your Business.</w:t>
      </w:r>
    </w:p>
    <w:p>
      <w:pPr>
        <w:pStyle w:val="Heading1"/>
      </w:pPr>
      <w:r>
        <w:t>3. Resolve</w:t>
      </w:r>
    </w:p>
    <w:p>
      <w:pPr>
        <w:pStyle w:val="Heading2"/>
      </w:pPr>
      <w:r>
        <w:t>3.1 Dispute Explorer</w:t>
      </w:r>
    </w:p>
    <w:p>
      <w:pPr>
        <w:spacing w:after="120"/>
      </w:pPr>
      <w:r>
        <w:rPr>
          <w:b/>
        </w:rPr>
        <w:t>Headline: Try Dispute Explorer — your free pre-litigation consultation.</w:t>
      </w:r>
    </w:p>
    <w:p>
      <w:pPr>
        <w:spacing w:after="120"/>
      </w:pPr>
      <w:r>
        <w:rPr>
          <w:b w:val="0"/>
        </w:rPr>
        <w:t>Body: Not sure if you have a case? Describe your dispute in plain language and, in minutes, get an honest read on whether it's worth pursuing, which method fits, and what it might cost and take. It works like a first call with a lawyer — powered by AI, private, and free. Dispute Explorer is informational and not legal advice; it never decides anything for you.</w:t>
      </w:r>
    </w:p>
    <w:p>
      <w:pPr>
        <w:spacing w:after="120"/>
      </w:pPr>
      <w:r>
        <w:rPr>
          <w:b w:val="0"/>
        </w:rPr>
        <w:t>CTA: Start exploring (free)</w:t>
      </w:r>
    </w:p>
    <w:p>
      <w:pPr>
        <w:pStyle w:val="Heading2"/>
      </w:pPr>
      <w:r>
        <w:t>3.2 File a Claim</w:t>
      </w:r>
    </w:p>
    <w:p>
      <w:pPr>
        <w:spacing w:after="120"/>
      </w:pPr>
      <w:r>
        <w:rPr>
          <w:b/>
        </w:rPr>
        <w:t>Headline: Settle the matter, now.</w:t>
      </w:r>
    </w:p>
    <w:p>
      <w:pPr>
        <w:spacing w:after="120"/>
      </w:pPr>
      <w:r>
        <w:rPr>
          <w:b w:val="0"/>
        </w:rPr>
        <w:t>Body: File your claim in a few guided steps. Add the other side, describe what happened and what you want, upload any documents, and pay securely. We handle notice, neutral appointment and scheduling. You'll always know where your matter stands.</w:t>
      </w:r>
    </w:p>
    <w:p>
      <w:pPr>
        <w:spacing w:after="120"/>
      </w:pPr>
      <w:r>
        <w:rPr>
          <w:b w:val="0"/>
        </w:rPr>
        <w:t>CTA: File a Claim</w:t>
      </w:r>
    </w:p>
    <w:p>
      <w:pPr>
        <w:pStyle w:val="Heading2"/>
      </w:pPr>
      <w:r>
        <w:t>3.3 File a Response</w:t>
      </w:r>
    </w:p>
    <w:p>
      <w:pPr>
        <w:spacing w:after="120"/>
      </w:pPr>
      <w:r>
        <w:rPr>
          <w:b/>
        </w:rPr>
        <w:t>Headline: Silence means consent — speak up, now.</w:t>
      </w:r>
    </w:p>
    <w:p>
      <w:pPr>
        <w:spacing w:after="120"/>
      </w:pPr>
      <w:r>
        <w:rPr>
          <w:b w:val="0"/>
        </w:rPr>
        <w:t>Body: Received a notice? Respond on Equator. Put your side on record, raise counter-claims, and upload your evidence. Responding protects your position and keeps the process fair.</w:t>
      </w:r>
    </w:p>
    <w:p>
      <w:pPr>
        <w:spacing w:after="120"/>
      </w:pPr>
      <w:r>
        <w:rPr>
          <w:b w:val="0"/>
        </w:rPr>
        <w:t>CTA: File a Response</w:t>
      </w:r>
    </w:p>
    <w:p>
      <w:pPr>
        <w:pStyle w:val="Heading2"/>
      </w:pPr>
      <w:r>
        <w:t>3.4 Settlements &amp; Awards</w:t>
      </w:r>
    </w:p>
    <w:p>
      <w:pPr>
        <w:spacing w:after="120"/>
      </w:pPr>
      <w:r>
        <w:rPr>
          <w:b/>
        </w:rPr>
        <w:t>Headline: Outcomes that hold.</w:t>
      </w:r>
    </w:p>
    <w:p>
      <w:pPr>
        <w:spacing w:after="120"/>
      </w:pPr>
      <w:r>
        <w:rPr>
          <w:b w:val="0"/>
        </w:rPr>
        <w:t>Body: Every settlement and award on Equator is signed, e-stamped and enforceable — a mediated settlement under Section 27 of the Mediation Act, an award under Section 36 of the Arbitration Act. We package your outcome for enforcement and help you track it to closure with SmartExecution.</w:t>
      </w:r>
    </w:p>
    <w:p>
      <w:pPr>
        <w:pStyle w:val="Heading2"/>
      </w:pPr>
      <w:r>
        <w:t>3.5 Track My Case</w:t>
      </w:r>
    </w:p>
    <w:p>
      <w:pPr>
        <w:spacing w:after="120"/>
      </w:pPr>
      <w:r>
        <w:rPr>
          <w:b/>
        </w:rPr>
        <w:t>Headline: Know where your matter stands.</w:t>
      </w:r>
    </w:p>
    <w:p>
      <w:pPr>
        <w:spacing w:after="120"/>
      </w:pPr>
      <w:r>
        <w:rPr>
          <w:b w:val="0"/>
        </w:rPr>
        <w:t>Body: Check your case status the way you'd check a court case — a clear timeline from filing to execution, next hearing date, orders and documents. Enter your case number to begin.</w:t>
      </w:r>
    </w:p>
    <w:p>
      <w:pPr>
        <w:pStyle w:val="Heading1"/>
      </w:pPr>
      <w:r>
        <w:t>4. Solutions</w:t>
      </w:r>
    </w:p>
    <w:p>
      <w:pPr>
        <w:pStyle w:val="Heading2"/>
      </w:pPr>
      <w:r>
        <w:t>4.1 For Private Clients</w:t>
      </w:r>
    </w:p>
    <w:p>
      <w:pPr>
        <w:spacing w:after="120"/>
      </w:pPr>
      <w:r>
        <w:rPr>
          <w:b w:val="0"/>
        </w:rPr>
        <w:t>Headline: A fair, fast way through your dispute. Body: Whether it's a family matter, a consumer complaint or a business disagreement, resolve it online — privately, affordably and on your terms. Start with a free Dispute Explorer consultation.</w:t>
      </w:r>
    </w:p>
    <w:p>
      <w:pPr>
        <w:pStyle w:val="Heading2"/>
      </w:pPr>
      <w:r>
        <w:t>4.2 For ADR Professionals</w:t>
      </w:r>
    </w:p>
    <w:p>
      <w:pPr>
        <w:spacing w:after="120"/>
      </w:pPr>
      <w:r>
        <w:rPr>
          <w:b w:val="0"/>
        </w:rPr>
        <w:t>Headline: Practise ADR, independently. Body: Get empanelled, receive matters, and run your own branded Private ADR Court on Equator's rails — compliance, audit, payments, video and e-sign included. Earn and grow with Equator.</w:t>
      </w:r>
    </w:p>
    <w:p>
      <w:pPr>
        <w:pStyle w:val="Heading2"/>
      </w:pPr>
      <w:r>
        <w:t>4.3 For Businesses</w:t>
      </w:r>
    </w:p>
    <w:p>
      <w:pPr>
        <w:spacing w:after="120"/>
      </w:pPr>
      <w:r>
        <w:rPr>
          <w:b w:val="0"/>
        </w:rPr>
        <w:t>Headline: Focus on growth, not on disputes. Body: Embed Equator in your contracts and grievance channels. Resolve customer, borrower, employee and shareholder disputes before they reach a court — compliant with RBI, SEBI and POSH duties. CTA: Request a Demo.</w:t>
      </w:r>
    </w:p>
    <w:p>
      <w:pPr>
        <w:pStyle w:val="Heading2"/>
      </w:pPr>
      <w:r>
        <w:t>4.4 Practice Areas (one-liners)</w:t>
      </w:r>
    </w:p>
    <w:p>
      <w:pPr>
        <w:pStyle w:val="ListBullet"/>
      </w:pPr>
      <w:r>
        <w:rPr>
          <w:b/>
        </w:rPr>
        <w:t xml:space="preserve">Family &amp; Matrimonial: </w:t>
      </w:r>
      <w:r>
        <w:t>Mediation for divorce, maintenance, custody and property — including NRI marriages.</w:t>
      </w:r>
    </w:p>
    <w:p>
      <w:pPr>
        <w:pStyle w:val="ListBullet"/>
      </w:pPr>
      <w:r>
        <w:rPr>
          <w:b/>
        </w:rPr>
        <w:t xml:space="preserve">NBFC &amp; Lending: </w:t>
      </w:r>
      <w:r>
        <w:t>Clause-driven, bulk-ready resolution of loan disputes with RBI-aligned grievance flows.</w:t>
      </w:r>
    </w:p>
    <w:p>
      <w:pPr>
        <w:pStyle w:val="ListBullet"/>
      </w:pPr>
      <w:r>
        <w:rPr>
          <w:b/>
        </w:rPr>
        <w:t xml:space="preserve">Commercial &amp; MSME: </w:t>
      </w:r>
      <w:r>
        <w:t>Arbitration and mediation for contracts and MSME payments, with MSEFC support.</w:t>
      </w:r>
    </w:p>
    <w:p>
      <w:pPr>
        <w:pStyle w:val="ListBullet"/>
      </w:pPr>
      <w:r>
        <w:rPr>
          <w:b/>
        </w:rPr>
        <w:t xml:space="preserve">Workplace &amp; POSH: </w:t>
      </w:r>
      <w:r>
        <w:t>Single-window grievance and POSH redress with confidential neutral escalation.</w:t>
      </w:r>
    </w:p>
    <w:p>
      <w:pPr>
        <w:pStyle w:val="ListBullet"/>
      </w:pPr>
      <w:r>
        <w:rPr>
          <w:b/>
        </w:rPr>
        <w:t xml:space="preserve">Consumer: </w:t>
      </w:r>
      <w:r>
        <w:t>Quick refunds and service-dispute resolution with e-Daakhil linkage.</w:t>
      </w:r>
    </w:p>
    <w:p>
      <w:pPr>
        <w:pStyle w:val="ListBullet"/>
      </w:pPr>
      <w:r>
        <w:rPr>
          <w:b/>
        </w:rPr>
        <w:t xml:space="preserve">Securities: </w:t>
      </w:r>
      <w:r>
        <w:t>SEBI SMART-ODR conciliation and arbitration for investor disputes.</w:t>
      </w:r>
    </w:p>
    <w:p>
      <w:pPr>
        <w:pStyle w:val="ListBullet"/>
      </w:pPr>
      <w:r>
        <w:rPr>
          <w:b/>
        </w:rPr>
        <w:t xml:space="preserve">International: </w:t>
      </w:r>
      <w:r>
        <w:t>Cross-border arbitration and mediation with New York / Singapore Convention packaging.</w:t>
      </w:r>
    </w:p>
    <w:p>
      <w:pPr>
        <w:pStyle w:val="Heading1"/>
      </w:pPr>
      <w:r>
        <w:t>5. Neutrals</w:t>
      </w:r>
    </w:p>
    <w:p>
      <w:pPr>
        <w:pStyle w:val="Heading2"/>
      </w:pPr>
      <w:r>
        <w:t>5.1 Register as a Neutral</w:t>
      </w:r>
    </w:p>
    <w:p>
      <w:pPr>
        <w:spacing w:after="120"/>
      </w:pPr>
      <w:r>
        <w:rPr>
          <w:b w:val="0"/>
        </w:rPr>
        <w:t>Headline: Deliver justice. Body: Join Equator as an arbitrator, mediator or conciliator. Tell us your qualifications and experience; once empanelled, receive matters that fit your expertise, language and location. Free to join.</w:t>
      </w:r>
    </w:p>
    <w:p>
      <w:pPr>
        <w:pStyle w:val="Heading2"/>
      </w:pPr>
      <w:r>
        <w:t>5.2 Private ADR Courts</w:t>
      </w:r>
    </w:p>
    <w:p>
      <w:pPr>
        <w:spacing w:after="120"/>
      </w:pPr>
      <w:r>
        <w:rPr>
          <w:b w:val="0"/>
        </w:rPr>
        <w:t>Headline: Set up your Private ADR Court. Body: Practise independently under your own brand, with Equator's rails behind you. Manage your caseload end-to-end, get paid transparently, and grow with Equator Assurance. First-year subscription offers available.</w:t>
      </w:r>
    </w:p>
    <w:p>
      <w:pPr>
        <w:pStyle w:val="Heading2"/>
      </w:pPr>
      <w:r>
        <w:t>5.3 Accreditation &amp; Code of Conduct</w:t>
      </w:r>
    </w:p>
    <w:p>
      <w:pPr>
        <w:spacing w:after="120"/>
      </w:pPr>
      <w:r>
        <w:rPr>
          <w:b w:val="0"/>
        </w:rPr>
        <w:t>Headline: Standards you can trust. Body: Equator neutrals meet recognised competency and ethics standards, aligned to the Mediation Council, the Arbitration Council of India and IMI. Read our Code of Conduct and complaint mechanism.</w:t>
      </w:r>
    </w:p>
    <w:p>
      <w:pPr>
        <w:pStyle w:val="Heading1"/>
      </w:pPr>
      <w:r>
        <w:t>6. Integration</w:t>
      </w:r>
    </w:p>
    <w:p>
      <w:pPr>
        <w:pStyle w:val="Heading2"/>
      </w:pPr>
      <w:r>
        <w:t>6.1 Integrate your Business</w:t>
      </w:r>
    </w:p>
    <w:p>
      <w:pPr>
        <w:spacing w:after="120"/>
      </w:pPr>
      <w:r>
        <w:rPr>
          <w:b w:val="0"/>
        </w:rPr>
        <w:t>Headline: Integrate your business, free. Body: Insert the Equator ADR clause in your contracts and connect your systems by API. When a complaint can't be resolved in-house, it escalates to Equator automatically — you stay compliant, your customers stay out of court.</w:t>
      </w:r>
    </w:p>
    <w:p>
      <w:pPr>
        <w:pStyle w:val="Heading2"/>
      </w:pPr>
      <w:r>
        <w:t>6.2 Grievance Portals</w:t>
      </w:r>
    </w:p>
    <w:p>
      <w:pPr>
        <w:spacing w:after="120"/>
      </w:pPr>
      <w:r>
        <w:rPr>
          <w:b w:val="0"/>
        </w:rPr>
        <w:t>Headline: Establish an internal grievance &amp; POSH portal. Body: Give your employees a single, confidential window to raise grievances and POSH complaints, meet your labour-law and POSH obligations, and escalate unresolved matters to a neutral. Built for NBFCs, UCBs, listed companies and employers.</w:t>
      </w:r>
    </w:p>
    <w:p>
      <w:pPr>
        <w:pStyle w:val="Heading2"/>
      </w:pPr>
      <w:r>
        <w:t>6.3 APIs &amp; Developers  ·  Request a Demo</w:t>
      </w:r>
    </w:p>
    <w:p>
      <w:pPr>
        <w:spacing w:after="120"/>
      </w:pPr>
      <w:r>
        <w:rPr>
          <w:b w:val="0"/>
        </w:rPr>
        <w:t>Headline: Build on Equator. Body: An API-first platform — create cases, push escalations, sync outcomes, and embed intake in your app. Sandbox, docs and webhooks included. CTA: Request a Demo.</w:t>
      </w:r>
    </w:p>
    <w:p>
      <w:pPr>
        <w:pStyle w:val="Heading1"/>
      </w:pPr>
      <w:r>
        <w:t>7. International</w:t>
      </w:r>
    </w:p>
    <w:p>
      <w:pPr>
        <w:spacing w:after="120"/>
      </w:pPr>
      <w:r>
        <w:rPr>
          <w:b w:val="0"/>
        </w:rPr>
        <w:t>Headline: Resolve from anywhere. Body: Equator resolves cross-border commercial disputes, international and NRI marriage matters, and export–import disputes — under your chosen law and language, with a neutral you select, and outcomes packaged for enforcement abroad under the New York and Singapore Conventions. Presence: Singapore | New Delhi | New York | London. CTA: Explore Global Presence.</w:t>
      </w:r>
    </w:p>
    <w:p>
      <w:pPr>
        <w:pStyle w:val="Heading1"/>
      </w:pPr>
      <w:r>
        <w:t>8. About, Trust &amp; Legal</w:t>
      </w:r>
    </w:p>
    <w:p>
      <w:pPr>
        <w:pStyle w:val="Heading2"/>
      </w:pPr>
      <w:r>
        <w:t>8.1 About Us</w:t>
      </w:r>
    </w:p>
    <w:p>
      <w:pPr>
        <w:spacing w:after="120"/>
      </w:pPr>
      <w:r>
        <w:rPr>
          <w:b w:val="0"/>
        </w:rPr>
        <w:t>Headline: Justice, redesigned. Body: Equator Resolution is an online dispute-resolution platform and institution built to make resolution fast, fair and enforceable for everyone — individuals, businesses and institutions. A brand of Infrabyx Consultancy (OPC) Private Limited, with the Equator ADR Institute as our training arm.</w:t>
      </w:r>
    </w:p>
    <w:p>
      <w:pPr>
        <w:pStyle w:val="Heading2"/>
      </w:pPr>
      <w:r>
        <w:t>8.2 EquaTech</w:t>
      </w:r>
    </w:p>
    <w:p>
      <w:pPr>
        <w:pStyle w:val="ListBullet"/>
      </w:pPr>
      <w:r>
        <w:rPr>
          <w:b/>
        </w:rPr>
        <w:t xml:space="preserve">Equator AI: </w:t>
      </w:r>
      <w:r>
        <w:t>AI that assists — Dispute Explorer, summarisation and drafting support — but never decides.</w:t>
      </w:r>
    </w:p>
    <w:p>
      <w:pPr>
        <w:pStyle w:val="ListBullet"/>
      </w:pPr>
      <w:r>
        <w:rPr>
          <w:b/>
        </w:rPr>
        <w:t xml:space="preserve">SmartExecution: </w:t>
      </w:r>
      <w:r>
        <w:t>We don't stop at the outcome; we package it for enforcement and track it to the ground.</w:t>
      </w:r>
    </w:p>
    <w:p>
      <w:pPr>
        <w:pStyle w:val="ListBullet"/>
      </w:pPr>
      <w:r>
        <w:rPr>
          <w:b/>
        </w:rPr>
        <w:t xml:space="preserve">Accessibility: </w:t>
      </w:r>
      <w:r>
        <w:t>WCAG 2.2 AA, vernacular and low-bandwidth access — justice for everyone.</w:t>
      </w:r>
    </w:p>
    <w:p>
      <w:pPr>
        <w:pStyle w:val="Heading2"/>
      </w:pPr>
      <w:r>
        <w:t>8.3 Standard footer &amp; legal blurbs</w:t>
      </w:r>
    </w:p>
    <w:p>
      <w:pPr>
        <w:spacing w:after="120"/>
      </w:pPr>
      <w:r>
        <w:rPr>
          <w:b w:val="0"/>
        </w:rPr>
        <w:t>Footer base: Equator Resolution — a brand owned by Infrabyx Consultancy (OPC) Private Limited. Singapore | New Delhi | New York | London.</w:t>
      </w:r>
    </w:p>
    <w:p>
      <w:pPr>
        <w:spacing w:after="120"/>
      </w:pPr>
      <w:r>
        <w:rPr>
          <w:b w:val="0"/>
        </w:rPr>
        <w:t>Legal/caveat blurb (reuse site-wide): Equator Resolution provides technology and institutional facilities for dispute resolution. Information on this site, including Dispute Explorer outputs, is general and not legal advice for any specific matter. Outcomes depend on the facts and applicable law.</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Consistency note.  </w:t>
            </w:r>
            <w:r>
              <w:rPr>
                <w:color w:val="1A1A1A"/>
                <w:sz w:val="19"/>
              </w:rPr>
              <w:t>Keep terminology fixed: ‘Equator Resolution' (platform), ‘Equator ADR Institute' (training), ‘Private ADR Court' (neutral tenant), ‘Dispute Explorer' (AI consultation), ‘SmartExecution' (enforcement tracking). Do not mix legacy ‘Equa' naming into new copy except where continuity is required.</w:t>
            </w:r>
          </w:p>
        </w:tc>
      </w:tr>
    </w:tbl>
    <w:p>
      <w:pPr>
        <w:spacing w:after="40"/>
      </w:pPr>
    </w:p>
    <w:p>
      <w:pPr>
        <w:spacing w:after="120"/>
      </w:pPr>
      <w:r>
        <w:rPr>
          <w:b w:val="0"/>
          <w:color w:val="5A6B7B"/>
          <w:sz w:val="18"/>
        </w:rPr>
        <w:t>End of EQR-10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