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E · WEB, MOBILE &amp; CONTENT</w:t>
      </w:r>
    </w:p>
    <w:p>
      <w:pPr>
        <w:pStyle w:val="Title"/>
        <w:pBdr>
          <w:bottom w:val="single" w:sz="20" w:space="6" w:color="B98A2E"/>
        </w:pBdr>
      </w:pPr>
      <w:r>
        <w:t>Mobile Application Architecture</w:t>
      </w:r>
    </w:p>
    <w:p>
      <w:pPr>
        <w:spacing w:after="280"/>
      </w:pPr>
      <w:r>
        <w:rPr>
          <w:i/>
          <w:color w:val="5A6B7B"/>
          <w:sz w:val="25"/>
        </w:rPr>
        <w:t>The architecture for Equator Resolution's mobile apps — party and neutral experiences on iOS and Android, built on the same API-first core, with offline resilience, mobile e-sign/e-stamp, secure hearings and push notifications.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EQR-11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Mobile Application Architecture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2.0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8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Head of Mobile Engineering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EQR-01 (core) · EQR-06 (APIs) · EQR-09 (IA parity) · EQR-14 (security)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Purpose &amp; Strategy</w:t>
      </w:r>
    </w:p>
    <w:p>
      <w:pPr>
        <w:spacing w:after="120"/>
      </w:pPr>
      <w:r>
        <w:rPr>
          <w:b w:val="0"/>
        </w:rPr>
        <w:t>India is mobile-first, and access to justice depends on reaching people on the device they actually own. The mobile apps bring the platform's core journeys to phones, on the same API-first backend as the web (EQR-01, EQR-06) — no separate backend, no divergent logic. Two app experiences ship from one codebase family: a Party app and a Neutral app, with role-aware screens.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One core, many faces.  </w:t>
            </w:r>
            <w:r>
              <w:rPr>
                <w:color w:val="1A1A1A"/>
                <w:sz w:val="19"/>
              </w:rPr>
              <w:t>The apps are thin, secure clients over the same APIs the web uses. Business rules, clocks and rulesets live server-side; the apps render, capture and sync. This guarantees parity and keeps compliance in one place.</w:t>
            </w:r>
          </w:p>
        </w:tc>
      </w:tr>
    </w:tbl>
    <w:p>
      <w:pPr>
        <w:spacing w:after="40"/>
      </w:pPr>
    </w:p>
    <w:p>
      <w:pPr>
        <w:pStyle w:val="Heading1"/>
      </w:pPr>
      <w:r>
        <w:t>2. App Portfolio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App</w:t>
            </w:r>
          </w:p>
        </w:tc>
        <w:tc>
          <w:tcPr>
            <w:tcW w:type="dxa" w:w="273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Primary personas</w:t>
            </w:r>
          </w:p>
        </w:tc>
        <w:tc>
          <w:tcPr>
            <w:tcW w:type="dxa" w:w="417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Signature journeys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Equator (Party) app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Party, counsel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Dispute Explorer, file/respond, upload evidence, join hearings, e-sign, pay, track status, messages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Equator Neutral app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Arbitrator, mediator, conciliator, case manager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Caseload, clocks, hearings, drafting review, e-sign, fees/payouts, availability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(Optional) Enterprise companion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Nodal/grievance officer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Intake triage, escalations, SLA alerts</w:t>
            </w:r>
          </w:p>
        </w:tc>
      </w:tr>
    </w:tbl>
    <w:p>
      <w:pPr>
        <w:spacing w:after="40"/>
      </w:pPr>
    </w:p>
    <w:p>
      <w:pPr>
        <w:pStyle w:val="Heading1"/>
      </w:pPr>
      <w:r>
        <w:t>3. Technology Approach</w:t>
      </w:r>
    </w:p>
    <w:p>
      <w:pPr>
        <w:pStyle w:val="ListBullet"/>
      </w:pPr>
      <w:r>
        <w:rPr>
          <w:b/>
        </w:rPr>
        <w:t xml:space="preserve">Cross-platform: </w:t>
      </w:r>
      <w:r>
        <w:t>React Native (single codebase for iOS &amp; Android) recommended for speed and parity; native modules where needed (biometrics, secure storage, video).</w:t>
      </w:r>
    </w:p>
    <w:p>
      <w:pPr>
        <w:pStyle w:val="ListBullet"/>
      </w:pPr>
      <w:r>
        <w:rPr>
          <w:b/>
        </w:rPr>
        <w:t xml:space="preserve">Shared design system: </w:t>
      </w:r>
      <w:r>
        <w:t>The web design system is mirrored as a mobile component library for brand and accessibility consistency.</w:t>
      </w:r>
    </w:p>
    <w:p>
      <w:pPr>
        <w:pStyle w:val="ListBullet"/>
      </w:pPr>
      <w:r>
        <w:rPr>
          <w:b/>
        </w:rPr>
        <w:t xml:space="preserve">API client: </w:t>
      </w:r>
      <w:r>
        <w:t>Typed client generated from the OpenAPI spec; same auth (OAuth2/OIDC) and webhooks-driven state.</w:t>
      </w:r>
    </w:p>
    <w:p>
      <w:pPr>
        <w:pStyle w:val="ListBullet"/>
      </w:pPr>
      <w:r>
        <w:rPr>
          <w:b/>
        </w:rPr>
        <w:t xml:space="preserve">Feature flags: </w:t>
      </w:r>
      <w:r>
        <w:t>Server-driven flags gate rollout and per-tenant capabilities.</w:t>
      </w:r>
    </w:p>
    <w:p>
      <w:pPr>
        <w:pStyle w:val="Heading1"/>
      </w:pPr>
      <w:r>
        <w:t>4. Feature Parity &amp; Mobile-First Features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100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Web</w:t>
            </w:r>
          </w:p>
        </w:tc>
        <w:tc>
          <w:tcPr>
            <w:tcW w:type="dxa" w:w="11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Mobile</w:t>
            </w:r>
          </w:p>
        </w:tc>
        <w:tc>
          <w:tcPr>
            <w:tcW w:type="dxa" w:w="47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Mobile-first note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Dispute Explorer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Voice-to-text intake; camera capture of documents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File / respond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Guided steps; resume drafts; photo evidence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Hearings (video/audio)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Push to join; audio-only low-bandwidth mode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e-Sign / e-Stamp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Biometric-gated signing; Aadhaar eSign flow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Payments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Razorpay UPI intent; PayPal for international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Documents (DMS)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Offline cache of case files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Case status / clocks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Push alerts before deadlines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Messages / notices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✓</w:t>
            </w:r>
          </w:p>
        </w:tc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Push + in-app; on-platform only</w:t>
            </w:r>
          </w:p>
        </w:tc>
      </w:tr>
    </w:tbl>
    <w:p>
      <w:pPr>
        <w:spacing w:after="40"/>
      </w:pPr>
    </w:p>
    <w:p>
      <w:pPr>
        <w:pStyle w:val="Heading1"/>
      </w:pPr>
      <w:r>
        <w:t>5. Offline &amp; Low-Bandwidth</w:t>
      </w:r>
    </w:p>
    <w:p>
      <w:pPr>
        <w:pStyle w:val="ListBullet"/>
      </w:pPr>
      <w:r>
        <w:t>Read-through cache of the party's active cases, documents and hearing schedule for offline viewing.</w:t>
      </w:r>
    </w:p>
    <w:p>
      <w:pPr>
        <w:pStyle w:val="ListBullet"/>
      </w:pPr>
      <w:r>
        <w:t>Draft-and-queue: filings, responses and uploads compose offline and sync when connectivity returns.</w:t>
      </w:r>
    </w:p>
    <w:p>
      <w:pPr>
        <w:pStyle w:val="ListBullet"/>
      </w:pPr>
      <w:r>
        <w:t>Audio-only hearing fallback and progressive uploads for weak networks.</w:t>
      </w:r>
    </w:p>
    <w:p>
      <w:pPr>
        <w:pStyle w:val="ListBullet"/>
      </w:pPr>
      <w:r>
        <w:t>SMS/WhatsApp fallback for status and reminders when data is unavailable.</w:t>
      </w:r>
    </w:p>
    <w:p>
      <w:pPr>
        <w:pStyle w:val="Heading1"/>
      </w:pPr>
      <w:r>
        <w:t>6. Notifications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74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56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Channel</w:t>
            </w:r>
          </w:p>
        </w:tc>
      </w:tr>
      <w:tr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Hearing scheduled / reminder</w:t>
            </w:r>
          </w:p>
        </w:tc>
        <w:tc>
          <w:tcPr>
            <w:tcW w:type="dxa" w:w="56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Push + in-app + SMS fallback</w:t>
            </w:r>
          </w:p>
        </w:tc>
      </w:tr>
      <w:tr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Clock approaching (e.g., response due)</w:t>
            </w:r>
          </w:p>
        </w:tc>
        <w:tc>
          <w:tcPr>
            <w:tcW w:type="dxa" w:w="56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Push (amber/red)</w:t>
            </w:r>
          </w:p>
        </w:tc>
      </w:tr>
      <w:tr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Neutral appointed / notice served</w:t>
            </w:r>
          </w:p>
        </w:tc>
        <w:tc>
          <w:tcPr>
            <w:tcW w:type="dxa" w:w="56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Push + in-app</w:t>
            </w:r>
          </w:p>
        </w:tc>
      </w:tr>
      <w:tr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Payment due / payout sent</w:t>
            </w:r>
          </w:p>
        </w:tc>
        <w:tc>
          <w:tcPr>
            <w:tcW w:type="dxa" w:w="56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Push + email</w:t>
            </w:r>
          </w:p>
        </w:tc>
      </w:tr>
      <w:tr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Outcome signed / case closed</w:t>
            </w:r>
          </w:p>
        </w:tc>
        <w:tc>
          <w:tcPr>
            <w:tcW w:type="dxa" w:w="56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Push + email + in-app</w:t>
            </w:r>
          </w:p>
        </w:tc>
      </w:tr>
    </w:tbl>
    <w:p>
      <w:pPr>
        <w:spacing w:after="40"/>
      </w:pPr>
    </w:p>
    <w:p>
      <w:pPr>
        <w:pStyle w:val="Heading1"/>
      </w:pPr>
      <w:r>
        <w:t>7. Mobile Signing, Stamping &amp; Identity</w:t>
      </w:r>
    </w:p>
    <w:p>
      <w:pPr>
        <w:pStyle w:val="ListBullet"/>
      </w:pPr>
      <w:r>
        <w:rPr>
          <w:b/>
        </w:rPr>
        <w:t xml:space="preserve">e-Sign: </w:t>
      </w:r>
      <w:r>
        <w:t>Aadhaar eSign and DSC flows adapted for mobile; NeSL Digital Document Execution for combined e-stamp + e-sign.</w:t>
      </w:r>
    </w:p>
    <w:p>
      <w:pPr>
        <w:pStyle w:val="ListBullet"/>
      </w:pPr>
      <w:r>
        <w:rPr>
          <w:b/>
        </w:rPr>
        <w:t xml:space="preserve">Liveness: </w:t>
      </w:r>
      <w:r>
        <w:t>Face-match/liveness at hearing join and at signing to deter impersonation and deepfakes.</w:t>
      </w:r>
    </w:p>
    <w:p>
      <w:pPr>
        <w:pStyle w:val="ListBullet"/>
      </w:pPr>
      <w:r>
        <w:rPr>
          <w:b/>
        </w:rPr>
        <w:t xml:space="preserve">Biometric gate: </w:t>
      </w:r>
      <w:r>
        <w:t>Device biometrics protect signing and sensitive views.</w:t>
      </w:r>
    </w:p>
    <w:p>
      <w:pPr>
        <w:pStyle w:val="Heading1"/>
      </w:pPr>
      <w:r>
        <w:t>8. Security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0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Secure storage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Keychain/Keystore for tokens; no sensitive data in plain storage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Transport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Certificate pinning; TLS only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Auth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OAuth2/OIDC; biometric unlock; step-up for signing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Confidentiality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Tier-aware screens; POSH/marital data masked; screenshot protection on sensitive views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Device posture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Root/jailbreak detection; optional MDM for enterprise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Privacy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DPDP-aligned permissions; minimal on-device retention; remote wipe of cached case data on logout</w:t>
            </w:r>
          </w:p>
        </w:tc>
      </w:tr>
    </w:tbl>
    <w:p>
      <w:pPr>
        <w:spacing w:after="40"/>
      </w:pPr>
    </w:p>
    <w:p>
      <w:pPr>
        <w:pStyle w:val="Heading1"/>
      </w:pPr>
      <w:r>
        <w:t>9. Architecture &amp; Sync</w:t>
      </w:r>
    </w:p>
    <w:p>
      <w:pPr>
        <w:spacing w:after="120"/>
      </w:pPr>
      <w:r>
        <w:rPr>
          <w:b w:val="0"/>
        </w:rPr>
        <w:t>The apps follow an offline-first, event-aware pattern: local store for cached reads and queued writes; sync engine reconciles with the API and consumes webhook-driven push updates; conflict resolution favours server truth for the case aggregate. Analytics and crash reporting are privacy-preserving (no PII).</w:t>
      </w:r>
    </w:p>
    <w:p>
      <w:pPr>
        <w:pStyle w:val="Heading1"/>
      </w:pPr>
      <w:r>
        <w:t>10. Release &amp; Distribution</w:t>
      </w:r>
    </w:p>
    <w:p>
      <w:pPr>
        <w:pStyle w:val="ListBullet"/>
      </w:pPr>
      <w:r>
        <w:t>App Store and Google Play; staged rollout behind feature flags.</w:t>
      </w:r>
    </w:p>
    <w:p>
      <w:pPr>
        <w:pStyle w:val="ListBullet"/>
      </w:pPr>
      <w:r>
        <w:t>Versioned APIs with backward compatibility; forced-update path for security releases.</w:t>
      </w:r>
    </w:p>
    <w:p>
      <w:pPr>
        <w:pStyle w:val="ListBullet"/>
      </w:pPr>
      <w:r>
        <w:t>Accessibility review (WCAG-aligned mobile) and store-compliance review each release.</w:t>
      </w:r>
    </w:p>
    <w:p>
      <w:pPr>
        <w:spacing w:after="120"/>
      </w:pPr>
      <w:r>
        <w:rPr>
          <w:b w:val="0"/>
          <w:color w:val="5A6B7B"/>
          <w:sz w:val="18"/>
        </w:rPr>
        <w:t>End of EQR-11 v2.0.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EQR-11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