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A · STRATEGY &amp; GOVERNANCE</w:t>
      </w:r>
    </w:p>
    <w:p>
      <w:pPr>
        <w:pStyle w:val="Title"/>
        <w:pBdr>
          <w:bottom w:val="single" w:sz="20" w:space="6" w:color="B98A2E"/>
        </w:pBdr>
      </w:pPr>
      <w:r>
        <w:t>Competitor &amp; Market Research (Refreshed)</w:t>
      </w:r>
    </w:p>
    <w:p>
      <w:pPr>
        <w:spacing w:after="280"/>
      </w:pPr>
      <w:r>
        <w:rPr>
          <w:i/>
          <w:color w:val="5A6B7B"/>
          <w:sz w:val="25"/>
        </w:rPr>
        <w:t>The ODR/ADR landscape — India and global — refreshed July 2026. Market sizing, competitor and institution profiles (including PACT, Sahamati, SEBI SMART-ODR, SIAC, IMI, MCIA and DIAC/IIAC), and Equator Resolution's positioning.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EQR-13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Competitor &amp; Market Research (Refreshed)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2.0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8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Founder / Strategy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Basis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Fresh web research, July 2026; figures are vendor/analyst estimates — treat ranges as directional.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EQR-01 (thesis) · EQR-05 (accreditation) · EQR-08 (pricing)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</w:rPr>
        <w:t>Online Dispute Resolution has moved from a fringe idea to a regulator-mandated category in India. Demand for large segments is now compelled — RBI for payment systems, NPCI for UPI, SEBI for securities via SMART-ODR, RBI Digital Lending grievance duties, and the Mediation Act 2023 for institutional and online mediation. The field is crowded but fragmented: some players are managed institutions, some are SaaS tools, some are vertical specialists, some are training bodies. No single player convincingly spans marital, NBFC, commercial/MSME, grievance/POSH, consumer, securities and cross-border while also running a managed institution, neutral-facing Private Court infrastructure, an enterprise escalation layer and an academy. That combination is Equator's gap to fill.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The competitive question.  </w:t>
            </w:r>
            <w:r>
              <w:rPr>
                <w:color w:val="1A1A1A"/>
                <w:sz w:val="19"/>
              </w:rPr>
              <w:t>Not ‘can ODR work?' — it demonstrably does (Sama alone reports 35 lakh+ disputes resolved) — but ‘who assembles the most complete, compliant, multi-segment platform, on rails others can build on?'.</w:t>
            </w:r>
          </w:p>
        </w:tc>
      </w:tr>
    </w:tbl>
    <w:p>
      <w:pPr>
        <w:spacing w:after="40"/>
      </w:pPr>
    </w:p>
    <w:p>
      <w:pPr>
        <w:pStyle w:val="Heading1"/>
      </w:pPr>
      <w:r>
        <w:t>2. Market Sizing &amp; Growth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0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Figure (as reported)</w:t>
            </w:r>
          </w:p>
        </w:tc>
        <w:tc>
          <w:tcPr>
            <w:tcW w:type="dxa" w:w="33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Legal ODR market (2025–26)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~USD 0.13–0.66 bn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Varies sharply by definition/source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Legal ODR CAGR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~10–18% to early/mid 2030s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Consistently double-digit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Broader ODR platforms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~USD 2.5 bn (2025) → ~4.6 bn (2032)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~9.5% CAGR (wider definition)</w:t>
            </w:r>
          </w:p>
        </w:tc>
      </w:tr>
      <w:tr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AI adoption in ODR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~44% of platforms use AI negotiation tools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Near table-stakes</w:t>
            </w:r>
          </w:p>
        </w:tc>
      </w:tr>
      <w:tr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Blockchain in ODR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~39% integrate for integrity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Audit/tamper-evidence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India-specific tailwinds: NITI Aayog's 2021 ODR policy plan; the Mediation Act 2023; SEBI SMART-ODR; RBI Digital Lending Directions 2025; consumer ODR; POSH/SHe-Box. Demand drivers: a pendency-heavy judiciary, surging digital-lending volumes, MSME payment disputes and statutory grievance mandates. Supply (neutrals) is the recognised bottleneck — validating Equator's Academy→empanelment strategy.</w:t>
      </w:r>
    </w:p>
    <w:p>
      <w:pPr>
        <w:pStyle w:val="Heading1"/>
      </w:pPr>
      <w:r>
        <w:t>3. India — Leading ODR Players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Player</w:t>
            </w:r>
          </w:p>
        </w:tc>
        <w:tc>
          <w:tcPr>
            <w:tcW w:type="dxa" w:w="34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Focus &amp; strength</w:t>
            </w:r>
          </w:p>
        </w:tc>
        <w:tc>
          <w:tcPr>
            <w:tcW w:type="dxa" w:w="417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Notable (2026)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Sama (sama.live)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High-volume banking/NBFC/insurance/e-commerce; deep neutral network; embedded enterprise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Recognised by Min. of Law &amp; Justice (2017); 3,000+ neutrals, 500+ districts; 2 crore+ cases handled, 35 lakh+ settled; OCR evidence; public API; ISO 27001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Presolv360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Tech-first mediation/arbitration; commercial/MSME/fintech; brand &amp; training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~$4.7M Series A (Elevation, 2025); ~1M disputes; runs an ODR academy; bespoke pricing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Jupitice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End-to-end ‘private digital court'; AI &amp; blockchain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Awards marketed valid in 166–171 countries; ‘Lok Adalat as a Service' (7 Digital Lok Adalats w/ NALSA/SLSA)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Professional mediation/arbitration; sector rulebooks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Empanelled NSE &amp; NCDEX; online arbitral award upheld in court; named sector rulebooks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Webnyay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End-to-end for courts/institutions/govt/business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Sole IFSCA-authorised ODR provider in GIFT City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CADRE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Sector-specific (MSME, logistics, real estate, SaaS)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Multi-channel (WhatsApp/SMS/video)</w:t>
            </w:r>
          </w:p>
        </w:tc>
      </w:tr>
    </w:tbl>
    <w:p>
      <w:pPr>
        <w:spacing w:after="40"/>
      </w:pPr>
    </w:p>
    <w:p>
      <w:pPr>
        <w:pStyle w:val="Heading2"/>
      </w:pPr>
      <w:r>
        <w:t>3.1 What matters for positioning</w:t>
      </w:r>
    </w:p>
    <w:p>
      <w:pPr>
        <w:pStyle w:val="ListBullet"/>
      </w:pPr>
      <w:r>
        <w:rPr>
          <w:b/>
        </w:rPr>
        <w:t xml:space="preserve">Sama — the one to beat on NBFC/volume: </w:t>
      </w:r>
      <w:r>
        <w:t>Scale leader with the strongest embedded-enterprise model and document-AI. Beatable only with a sharp wedge: document-AI parity + transparent pricing + a warm lender design partner.</w:t>
      </w:r>
    </w:p>
    <w:p>
      <w:pPr>
        <w:pStyle w:val="ListBullet"/>
      </w:pPr>
      <w:r>
        <w:rPr>
          <w:b/>
        </w:rPr>
        <w:t xml:space="preserve">Presolv360 — funded, brand-led, and an Academy competitor: </w:t>
      </w:r>
      <w:r>
        <w:t>Already runs a training academy. Counter by making the Academy the on-ramp to empanelment (train→certify→empanel→live cases), which a standalone training arm does not own.</w:t>
      </w:r>
    </w:p>
    <w:p>
      <w:pPr>
        <w:pStyle w:val="ListBullet"/>
      </w:pPr>
      <w:r>
        <w:rPr>
          <w:b/>
        </w:rPr>
        <w:t xml:space="preserve">Jupitice — the private-digital-court and government-channel mover: </w:t>
      </w:r>
      <w:r>
        <w:t>Your most direct conceptual overlap, now extended to Lok-Adalat-as-a-Service. The government/Lok Adalat channel is a large pool — a deliberate decision to contest it (or not) is required.</w:t>
      </w:r>
    </w:p>
    <w:p>
      <w:pPr>
        <w:pStyle w:val="ListBullet"/>
      </w:pPr>
      <w:r>
        <w:rPr>
          <w:b/>
        </w:rPr>
        <w:t xml:space="preserve">CORD — the regulatory-credibility playbook to copy: </w:t>
      </w:r>
      <w:r>
        <w:t>Make ‘first award upheld in court' an explicit early milestone, and ship configurable rulesets as named, sector-specific rulebooks.</w:t>
      </w:r>
    </w:p>
    <w:p>
      <w:pPr>
        <w:pStyle w:val="Heading1"/>
      </w:pPr>
      <w:r>
        <w:t>4. Regulator &amp; Channel Demand (mandated, not sold)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Mandate / channel</w:t>
            </w:r>
          </w:p>
        </w:tc>
        <w:tc>
          <w:tcPr>
            <w:tcW w:type="dxa" w:w="316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Who is compelled / served</w:t>
            </w:r>
          </w:p>
        </w:tc>
        <w:tc>
          <w:tcPr>
            <w:tcW w:type="dxa" w:w="34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Effect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RBI ODR for PSOs; NPCI ODR for UPI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Payment operators; UPI participants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Mandatory ODR for payment/failed-transaction disputes — enormous volume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SEBI SMART-ODR (smartodr.in)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Securities-market participants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SCORES gateway → pre-conciliation (21+10d, free) → conciliation (participant-paid) → arbitration; round-robin allocation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RBI Digital Lending Directions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Lenders / LSPs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Grievance duties; 30-day SLA; escalation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Sahamati (AA network)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Account-Aggregator members (RBI/SEBI/IRDAI/PFRDA/DoR)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Empanels ODR institutions for inter-member disputes — a warm channel Equator can join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Mediation Act 2023; Consumer ODR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Broad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Institutional/online mediation; consumer redress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Read-through.  </w:t>
            </w:r>
            <w:r>
              <w:rPr>
                <w:color w:val="1A1A1A"/>
                <w:sz w:val="19"/>
              </w:rPr>
              <w:t>Demand for the NBFC/payments and securities pillars is increasingly mandated, favouring the lowest-friction embedded experience (API, document-AI, transparent pricing). Empanelment channels such as Sahamati and SMART-ODR are ways to acquire mandated volume rather than sell it.</w:t>
            </w:r>
          </w:p>
        </w:tc>
      </w:tr>
    </w:tbl>
    <w:p>
      <w:pPr>
        <w:spacing w:after="40"/>
      </w:pPr>
    </w:p>
    <w:p>
      <w:pPr>
        <w:pStyle w:val="Heading1"/>
      </w:pPr>
      <w:r>
        <w:t>5. Training &amp; Accreditation Ecosystem</w:t>
      </w:r>
    </w:p>
    <w:p>
      <w:pPr>
        <w:spacing w:after="120"/>
      </w:pPr>
      <w:r>
        <w:rPr>
          <w:b w:val="0"/>
        </w:rPr>
        <w:t>Because neutral supply is the bottleneck, the training/accreditation layer is strategically important — and it is where Equator's Institute competes and connects.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Body</w:t>
            </w:r>
          </w:p>
        </w:tc>
        <w:tc>
          <w:tcPr>
            <w:tcW w:type="dxa" w:w="374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Relevance to Equator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PACT (thepact.in)</w:t>
            </w:r>
          </w:p>
        </w:tc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Mediation training &amp; education; 12,000+ trained; India's first ADR Advocacy Summer School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 training competitor to the Equator ADR Institute; benchmark for curriculum &amp; community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IMI (imimediation.org)</w:t>
            </w:r>
          </w:p>
        </w:tc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Global mediation standard-setter: IMI Qualified vs Certified (200 hrs/20 mediations); IMI ODR Mediator, QAP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The accreditation anchor to align the Institute and neutral grading to (EQR-05)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Presolv360 academy</w:t>
            </w:r>
          </w:p>
        </w:tc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Vendor training arm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Direct Academy competitor; differentiate via empanelment funnel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Equator ADR Institute (equatoradr.com)</w:t>
            </w:r>
          </w:p>
        </w:tc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Equator's own IMI-accredited certified mediation training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Separate site; the on-ramp to empanelment</w:t>
            </w:r>
          </w:p>
        </w:tc>
      </w:tr>
    </w:tbl>
    <w:p>
      <w:pPr>
        <w:spacing w:after="40"/>
      </w:pPr>
    </w:p>
    <w:p>
      <w:pPr>
        <w:pStyle w:val="Heading1"/>
      </w:pPr>
      <w:r>
        <w:t>6. International Institutions &amp; Reference Players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Institution</w:t>
            </w:r>
          </w:p>
        </w:tc>
        <w:tc>
          <w:tcPr>
            <w:tcW w:type="dxa" w:w="72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Note (2025–26)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SIAC (Singapore)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SIAC Rules 2025 (7th ed., eff. 1 Jan 2025): third-party funding, coordinated proceedings, emergency &amp; streamlined procedures. 2025 caseload 886 new cases (2nd-highest ever), total US$14.53bn; 89% international, 79 jurisdictions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MCIA (Mumbai)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MCIA Rules 2025 (36→49 provisions): joinder, consolidation, early dismissal/summary. 2024 caseload 34 (+48%), value ~₹2,180 cr (~US$257M); 90% awards within 18 months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DIAC (Delhi)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Delhi International Arbitration Centre — est. 2009; first High-Court-annexed institutional centre in India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IIAC (Delhi)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India International Arbitration Centre — est. 2019; Institute of National Importance by Act of Parliament; autonomous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AAA / ICDR (US/global)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Premier institution; 230k+ cases/yr; acquired ODR.com &amp; Mediate.com (2024)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Tyler / Modria (US)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Court-embedded ODR; deployed across many US states; &gt;1M cases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Smartsettle / Immediation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AI-assisted negotiation/mediation engines — the ‘AI settles it' frontier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Equator aligns its international rulesets to these institutions' frameworks and to the New York and Singapore Conventions (EQR-04), so cross-border outcomes are recognised and enforceable.</w:t>
      </w:r>
    </w:p>
    <w:p>
      <w:pPr>
        <w:pStyle w:val="Heading1"/>
      </w:pPr>
      <w:r>
        <w:t>7. Capability Comparison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12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SAMA</w:t>
            </w:r>
          </w:p>
        </w:tc>
        <w:tc>
          <w:tcPr>
            <w:tcW w:type="dxa" w:w="15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Presolv360</w:t>
            </w:r>
          </w:p>
        </w:tc>
        <w:tc>
          <w:tcPr>
            <w:tcW w:type="dxa" w:w="129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Jupitice</w:t>
            </w:r>
          </w:p>
        </w:tc>
        <w:tc>
          <w:tcPr>
            <w:tcW w:type="dxa" w:w="100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CORD</w:t>
            </w:r>
          </w:p>
        </w:tc>
        <w:tc>
          <w:tcPr>
            <w:tcW w:type="dxa" w:w="144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Equator (intended)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NBFC / banking volume</w:t>
            </w:r>
          </w:p>
        </w:tc>
        <w:tc>
          <w:tcPr>
            <w:tcW w:type="dxa" w:w="12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 core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Document-AI (OCR/extraction)</w:t>
            </w:r>
          </w:p>
        </w:tc>
        <w:tc>
          <w:tcPr>
            <w:tcW w:type="dxa" w:w="12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</w:t>
            </w:r>
          </w:p>
        </w:tc>
        <w:tc>
          <w:tcPr>
            <w:tcW w:type="dxa" w:w="15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 planned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Public API / embed</w:t>
            </w:r>
          </w:p>
        </w:tc>
        <w:tc>
          <w:tcPr>
            <w:tcW w:type="dxa" w:w="12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 core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Securities (SEBI) credibility</w:t>
            </w:r>
          </w:p>
        </w:tc>
        <w:tc>
          <w:tcPr>
            <w:tcW w:type="dxa" w:w="12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5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 target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Court-upheld award proof</w:t>
            </w:r>
          </w:p>
        </w:tc>
        <w:tc>
          <w:tcPr>
            <w:tcW w:type="dxa" w:w="12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 milestone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Named sector rulebooks</w:t>
            </w:r>
          </w:p>
        </w:tc>
        <w:tc>
          <w:tcPr>
            <w:tcW w:type="dxa" w:w="12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5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Private digital court</w:t>
            </w:r>
          </w:p>
        </w:tc>
        <w:tc>
          <w:tcPr>
            <w:tcW w:type="dxa" w:w="12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 core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Family / marital mediation</w:t>
            </w:r>
          </w:p>
        </w:tc>
        <w:tc>
          <w:tcPr>
            <w:tcW w:type="dxa" w:w="12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5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 differentiator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Grievance + POSH integrated</w:t>
            </w:r>
          </w:p>
        </w:tc>
        <w:tc>
          <w:tcPr>
            <w:tcW w:type="dxa" w:w="12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 differentiator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Academy→empanelment funnel</w:t>
            </w:r>
          </w:p>
        </w:tc>
        <w:tc>
          <w:tcPr>
            <w:tcW w:type="dxa" w:w="12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5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 (training only)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Transparent published pricing</w:t>
            </w:r>
          </w:p>
        </w:tc>
        <w:tc>
          <w:tcPr>
            <w:tcW w:type="dxa" w:w="12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 (quote)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 wedge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AI-facilitated settlement</w:t>
            </w:r>
          </w:p>
        </w:tc>
        <w:tc>
          <w:tcPr>
            <w:tcW w:type="dxa" w:w="12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5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Dispute Explorer (pre-lit AI)</w:t>
            </w:r>
          </w:p>
        </w:tc>
        <w:tc>
          <w:tcPr>
            <w:tcW w:type="dxa" w:w="12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5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✖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 unique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Multi-segment breadth (all)</w:t>
            </w:r>
          </w:p>
        </w:tc>
        <w:tc>
          <w:tcPr>
            <w:tcW w:type="dxa" w:w="12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5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~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✔ unique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What the matrix shows.  </w:t>
            </w:r>
            <w:r>
              <w:rPr>
                <w:color w:val="1A1A1A"/>
                <w:sz w:val="19"/>
              </w:rPr>
              <w:t>No competitor spans all pillars plus Private Court plus Academy plus a pre-litigation AI consultation tool — that breadth is Equator's unique column. But each competitor beats Equator in its lane today. The strategy is sequencing: win one lane decisively first, not parity everywhere at once.</w:t>
            </w:r>
          </w:p>
        </w:tc>
      </w:tr>
    </w:tbl>
    <w:p>
      <w:pPr>
        <w:spacing w:after="40"/>
      </w:pPr>
    </w:p>
    <w:p>
      <w:pPr>
        <w:pStyle w:val="Heading1"/>
      </w:pPr>
      <w:r>
        <w:t>8. Positioning &amp; Strategy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Strengths</w:t>
            </w:r>
          </w:p>
        </w:tc>
        <w:tc>
          <w:tcPr>
            <w:tcW w:type="dxa" w:w="46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Weaknesses</w:t>
            </w:r>
          </w:p>
        </w:tc>
      </w:tr>
      <w:tr>
        <w:tc>
          <w:tcPr>
            <w:tcW w:type="dxa" w:w="46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Multi-segment scope; two-sided (EDRS + Private Court); Academy seeds supply; compliance-by-config; Dispute Explorer as a unique on-ramp</w:t>
            </w:r>
          </w:p>
        </w:tc>
        <w:tc>
          <w:tcPr>
            <w:tcW w:type="dxa" w:w="46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New entrant vs. funded incumbents; breadth risks focus dilution; two-sided cold-start; heavy compliance surface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Opportunities</w:t>
            </w:r>
          </w:p>
        </w:tc>
        <w:tc>
          <w:tcPr>
            <w:tcW w:type="dxa" w:w="46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Threats</w:t>
            </w:r>
          </w:p>
        </w:tc>
      </w:tr>
      <w:tr>
        <w:tc>
          <w:tcPr>
            <w:tcW w:type="dxa" w:w="46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Marital &amp; POSH underserved as integrated products; mandated NBFC/securities volume; regulator alignment as a wedge; global expansion via rulesets; empanelment channels (Sahamati, SMART-ODR)</w:t>
            </w:r>
          </w:p>
        </w:tc>
        <w:tc>
          <w:tcPr>
            <w:tcW w:type="dxa" w:w="46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Incumbent expansion into Equator's segments; Jupitice's private-court/government moves; regulatory/enforceability change; consolidation (institutions acquiring channels)</w:t>
            </w:r>
          </w:p>
        </w:tc>
      </w:tr>
    </w:tbl>
    <w:p>
      <w:pPr>
        <w:spacing w:after="40"/>
      </w:pPr>
    </w:p>
    <w:p>
      <w:pPr>
        <w:pStyle w:val="Heading2"/>
      </w:pPr>
      <w:r>
        <w:t>8.1 Recommended positioning</w:t>
      </w:r>
    </w:p>
    <w:p>
      <w:pPr>
        <w:pStyle w:val="ListNumber"/>
      </w:pPr>
      <w:r>
        <w:t>Lead with one volume wedge — win NBFC (or commercial) first with a warm design partner via the SMART-ODR ladder and bulk intake.</w:t>
      </w:r>
    </w:p>
    <w:p>
      <w:pPr>
        <w:pStyle w:val="ListNumber"/>
      </w:pPr>
      <w:r>
        <w:t>Own the trust segments — marital and POSH are underserved as integrated, confidential products and hard to copy from volume.</w:t>
      </w:r>
    </w:p>
    <w:p>
      <w:pPr>
        <w:pStyle w:val="ListNumber"/>
      </w:pPr>
      <w:r>
        <w:t>Differentiate as infrastructure — Private Court + Academy convert competitors' neutrals into Equator's supply; meet Jupitice with broader coverage.</w:t>
      </w:r>
    </w:p>
    <w:p>
      <w:pPr>
        <w:pStyle w:val="ListNumber"/>
      </w:pPr>
      <w:r>
        <w:t>Make compliance the pitch — configurable rulesets mapped to the Mediation Act, A&amp;C Act, RBI, SEBI and POSH turn complexity into a selling point.</w:t>
      </w:r>
    </w:p>
    <w:p>
      <w:pPr>
        <w:pStyle w:val="ListNumber"/>
      </w:pPr>
      <w:r>
        <w:t>Design for embedding — APIs/white-label capture volume where the dispute originates; Dispute Explorer converts intent at the top of the funnel.</w:t>
      </w:r>
    </w:p>
    <w:p>
      <w:pPr>
        <w:pStyle w:val="Heading1"/>
      </w:pPr>
      <w:r>
        <w:t>9. Sources (selected, July 2026)</w:t>
      </w:r>
    </w:p>
    <w:p>
      <w:pPr>
        <w:pStyle w:val="ListBullet"/>
      </w:pPr>
      <w:r>
        <w:t>Sama (sama.live); Presolv360 (presolv360.com, Inc42 funding); Jupitice; CORD; Webnyay; CADRE.</w:t>
      </w:r>
    </w:p>
    <w:p>
      <w:pPr>
        <w:pStyle w:val="ListBullet"/>
      </w:pPr>
      <w:r>
        <w:t>PACT (thepact.in); IMI (imimediation.org — competency criteria, QAP, ODR mediator).</w:t>
      </w:r>
    </w:p>
    <w:p>
      <w:pPr>
        <w:pStyle w:val="ListBullet"/>
      </w:pPr>
      <w:r>
        <w:t>SEBI SMART-ODR (smartodr.in); SEBI ODR Master Circular 2023; Sahamati (sahamati.org.in — ODR empanelment).</w:t>
      </w:r>
    </w:p>
    <w:p>
      <w:pPr>
        <w:pStyle w:val="ListBullet"/>
      </w:pPr>
      <w:r>
        <w:t>SIAC Rules 2025 &amp; Annual Report 2025 (siac.org.sg; HSF); MCIA Rules 2025 &amp; Annual Report (mcia.org.in; Pinsent Masons).</w:t>
      </w:r>
    </w:p>
    <w:p>
      <w:pPr>
        <w:pStyle w:val="ListBullet"/>
      </w:pPr>
      <w:r>
        <w:t>DIAC (dhcdiac.nic.in); IIAC (indiaiac.org; Wikipedia); AAA/ICDR; Tyler/Modria; Smartsettle/Immediation.</w:t>
      </w:r>
    </w:p>
    <w:p>
      <w:pPr>
        <w:pStyle w:val="ListBullet"/>
      </w:pPr>
      <w:r>
        <w:t>NITI Aayog ODR Policy Plan (2021); Emergen Research Legal-ODR reports.</w:t>
      </w:r>
    </w:p>
    <w:p>
      <w:pPr>
        <w:spacing w:after="120"/>
      </w:pPr>
      <w:r>
        <w:rPr>
          <w:b w:val="0"/>
          <w:color w:val="5A6B7B"/>
          <w:sz w:val="18"/>
        </w:rPr>
        <w:t>Market figures are vendor/analyst estimates and vary by definition; re-verify before external use.</w:t>
      </w:r>
    </w:p>
    <w:p>
      <w:pPr>
        <w:spacing w:after="120"/>
      </w:pPr>
      <w:r>
        <w:rPr>
          <w:b w:val="0"/>
          <w:color w:val="5A6B7B"/>
          <w:sz w:val="18"/>
        </w:rPr>
        <w:t>End of EQR-13 v2.0.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EQR-13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