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B2E4F"/>
        <w:spacing w:after="40"/>
      </w:pPr>
      <w:r>
        <w:rPr>
          <w:sz w:val="8"/>
        </w:rPr>
        <w:t xml:space="preserve"> </w:t>
      </w:r>
    </w:p>
    <w:p>
      <w:pPr>
        <w:spacing w:before="200" w:after="40"/>
      </w:pPr>
      <w:r>
        <w:rPr>
          <w:b/>
          <w:color w:val="1F7A8C"/>
          <w:sz w:val="20"/>
        </w:rPr>
        <w:t>FAMILY D · LEGAL &amp; COMPLIANCE</w:t>
      </w:r>
    </w:p>
    <w:p>
      <w:pPr>
        <w:pStyle w:val="Title"/>
        <w:pBdr>
          <w:bottom w:val="single" w:sz="20" w:space="6" w:color="B98A2E"/>
        </w:pBdr>
      </w:pPr>
      <w:r>
        <w:t>Security, Privacy &amp; Compliance Pack</w:t>
      </w:r>
    </w:p>
    <w:p>
      <w:pPr>
        <w:spacing w:after="280"/>
      </w:pPr>
      <w:r>
        <w:rPr>
          <w:i/>
          <w:color w:val="5A6B7B"/>
          <w:sz w:val="25"/>
        </w:rPr>
        <w:t>How Equator Resolution proves it is safe and lawful — DPDP Act 2023 and the DPDP Rules 2025, data classification and retention, the STRIDE threat model, the ISO 27001 / SOC 2 control map, identity assurance and deepfake defence, e-sign/e-stamp integrity, and AI/model-risk governance.</w:t>
      </w:r>
    </w:p>
    <w:p>
      <w:pPr>
        <w:pStyle w:val="Heading2"/>
      </w:pPr>
      <w:r>
        <w:t>Document Control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880"/>
            <w:shd w:val="clear" w:color="auto" w:fill="0B2E4F"/>
            <w:tcMar>
              <w:top w:w="60" w:type="dxa"/>
              <w:left w:w="110" w:type="dxa"/>
              <w:bottom w:w="60" w:type="dxa"/>
              <w:right w:w="110" w:type="dxa"/>
            </w:tcMar>
            <w:vAlign w:val="center"/>
          </w:tcPr>
          <w:p>
            <w:pPr>
              <w:spacing w:after="20"/>
            </w:pPr>
            <w:r>
              <w:rPr>
                <w:b/>
                <w:color w:val="FFFFFF"/>
                <w:sz w:val="19"/>
              </w:rPr>
              <w:t>Field</w:t>
            </w:r>
          </w:p>
        </w:tc>
        <w:tc>
          <w:tcPr>
            <w:tcW w:type="dxa" w:w="6480"/>
            <w:shd w:val="clear" w:color="auto" w:fill="0B2E4F"/>
            <w:tcMar>
              <w:top w:w="60" w:type="dxa"/>
              <w:left w:w="110" w:type="dxa"/>
              <w:bottom w:w="60" w:type="dxa"/>
              <w:right w:w="110" w:type="dxa"/>
            </w:tcMar>
            <w:vAlign w:val="center"/>
          </w:tcPr>
          <w:p>
            <w:pPr>
              <w:spacing w:after="20"/>
            </w:pPr>
            <w:r>
              <w:rPr>
                <w:b/>
                <w:color w:val="FFFFFF"/>
                <w:sz w:val="19"/>
              </w:rPr>
              <w:t>Detail</w:t>
            </w:r>
          </w:p>
        </w:tc>
      </w:tr>
      <w:tr>
        <w:tc>
          <w:tcPr>
            <w:tcW w:type="dxa" w:w="2880"/>
            <w:tcMar>
              <w:top w:w="60" w:type="dxa"/>
              <w:left w:w="110" w:type="dxa"/>
              <w:bottom w:w="60" w:type="dxa"/>
              <w:right w:w="110" w:type="dxa"/>
            </w:tcMar>
            <w:vAlign w:val="top"/>
          </w:tcPr>
          <w:p>
            <w:pPr>
              <w:spacing w:after="20"/>
            </w:pPr>
            <w:r>
              <w:rPr>
                <w:b/>
                <w:sz w:val="19"/>
              </w:rPr>
              <w:t>Document code</w:t>
            </w:r>
          </w:p>
        </w:tc>
        <w:tc>
          <w:tcPr>
            <w:tcW w:type="dxa" w:w="6480"/>
            <w:tcMar>
              <w:top w:w="60" w:type="dxa"/>
              <w:left w:w="110" w:type="dxa"/>
              <w:bottom w:w="60" w:type="dxa"/>
              <w:right w:w="110" w:type="dxa"/>
            </w:tcMar>
            <w:vAlign w:val="top"/>
          </w:tcPr>
          <w:p>
            <w:pPr>
              <w:spacing w:after="20"/>
            </w:pPr>
            <w:r>
              <w:rPr>
                <w:sz w:val="19"/>
              </w:rPr>
              <w:t>EQR-14</w:t>
            </w:r>
          </w:p>
        </w:tc>
      </w:tr>
      <w:tr>
        <w:tc>
          <w:tcPr>
            <w:tcW w:type="dxa" w:w="2880"/>
            <w:shd w:val="clear" w:color="auto" w:fill="EAF1F6"/>
            <w:tcMar>
              <w:top w:w="60" w:type="dxa"/>
              <w:left w:w="110" w:type="dxa"/>
              <w:bottom w:w="60" w:type="dxa"/>
              <w:right w:w="110" w:type="dxa"/>
            </w:tcMar>
            <w:vAlign w:val="top"/>
          </w:tcPr>
          <w:p>
            <w:pPr>
              <w:spacing w:after="20"/>
            </w:pPr>
            <w:r>
              <w:rPr>
                <w:b/>
                <w:sz w:val="19"/>
              </w:rPr>
              <w:t>Document title</w:t>
            </w:r>
          </w:p>
        </w:tc>
        <w:tc>
          <w:tcPr>
            <w:tcW w:type="dxa" w:w="6480"/>
            <w:shd w:val="clear" w:color="auto" w:fill="EAF1F6"/>
            <w:tcMar>
              <w:top w:w="60" w:type="dxa"/>
              <w:left w:w="110" w:type="dxa"/>
              <w:bottom w:w="60" w:type="dxa"/>
              <w:right w:w="110" w:type="dxa"/>
            </w:tcMar>
            <w:vAlign w:val="top"/>
          </w:tcPr>
          <w:p>
            <w:pPr>
              <w:spacing w:after="20"/>
            </w:pPr>
            <w:r>
              <w:rPr>
                <w:sz w:val="19"/>
              </w:rPr>
              <w:t>Security, Privacy &amp; Compliance Pack</w:t>
            </w:r>
          </w:p>
        </w:tc>
      </w:tr>
      <w:tr>
        <w:tc>
          <w:tcPr>
            <w:tcW w:type="dxa" w:w="2880"/>
            <w:tcMar>
              <w:top w:w="60" w:type="dxa"/>
              <w:left w:w="110" w:type="dxa"/>
              <w:bottom w:w="60" w:type="dxa"/>
              <w:right w:w="110" w:type="dxa"/>
            </w:tcMar>
            <w:vAlign w:val="top"/>
          </w:tcPr>
          <w:p>
            <w:pPr>
              <w:spacing w:after="20"/>
            </w:pPr>
            <w:r>
              <w:rPr>
                <w:b/>
                <w:sz w:val="19"/>
              </w:rPr>
              <w:t>Version</w:t>
            </w:r>
          </w:p>
        </w:tc>
        <w:tc>
          <w:tcPr>
            <w:tcW w:type="dxa" w:w="6480"/>
            <w:tcMar>
              <w:top w:w="60" w:type="dxa"/>
              <w:left w:w="110" w:type="dxa"/>
              <w:bottom w:w="60" w:type="dxa"/>
              <w:right w:w="110" w:type="dxa"/>
            </w:tcMar>
            <w:vAlign w:val="top"/>
          </w:tcPr>
          <w:p>
            <w:pPr>
              <w:spacing w:after="20"/>
            </w:pPr>
            <w:r>
              <w:rPr>
                <w:sz w:val="19"/>
              </w:rPr>
              <w:t>2.0</w:t>
            </w:r>
          </w:p>
        </w:tc>
      </w:tr>
      <w:tr>
        <w:tc>
          <w:tcPr>
            <w:tcW w:type="dxa" w:w="2880"/>
            <w:shd w:val="clear" w:color="auto" w:fill="EAF1F6"/>
            <w:tcMar>
              <w:top w:w="60" w:type="dxa"/>
              <w:left w:w="110" w:type="dxa"/>
              <w:bottom w:w="60" w:type="dxa"/>
              <w:right w:w="110" w:type="dxa"/>
            </w:tcMar>
            <w:vAlign w:val="top"/>
          </w:tcPr>
          <w:p>
            <w:pPr>
              <w:spacing w:after="20"/>
            </w:pPr>
            <w:r>
              <w:rPr>
                <w:b/>
                <w:sz w:val="19"/>
              </w:rPr>
              <w:t>Date</w:t>
            </w:r>
          </w:p>
        </w:tc>
        <w:tc>
          <w:tcPr>
            <w:tcW w:type="dxa" w:w="6480"/>
            <w:shd w:val="clear" w:color="auto" w:fill="EAF1F6"/>
            <w:tcMar>
              <w:top w:w="60" w:type="dxa"/>
              <w:left w:w="110" w:type="dxa"/>
              <w:bottom w:w="60" w:type="dxa"/>
              <w:right w:w="110" w:type="dxa"/>
            </w:tcMar>
            <w:vAlign w:val="top"/>
          </w:tcPr>
          <w:p>
            <w:pPr>
              <w:spacing w:after="20"/>
            </w:pPr>
            <w:r>
              <w:rPr>
                <w:sz w:val="19"/>
              </w:rPr>
              <w:t>8 July 2026</w:t>
            </w:r>
          </w:p>
        </w:tc>
      </w:tr>
      <w:tr>
        <w:tc>
          <w:tcPr>
            <w:tcW w:type="dxa" w:w="2880"/>
            <w:tcMar>
              <w:top w:w="60" w:type="dxa"/>
              <w:left w:w="110" w:type="dxa"/>
              <w:bottom w:w="60" w:type="dxa"/>
              <w:right w:w="110" w:type="dxa"/>
            </w:tcMar>
            <w:vAlign w:val="top"/>
          </w:tcPr>
          <w:p>
            <w:pPr>
              <w:spacing w:after="20"/>
            </w:pPr>
            <w:r>
              <w:rPr>
                <w:b/>
                <w:sz w:val="19"/>
              </w:rPr>
              <w:t>Status</w:t>
            </w:r>
          </w:p>
        </w:tc>
        <w:tc>
          <w:tcPr>
            <w:tcW w:type="dxa" w:w="6480"/>
            <w:tcMar>
              <w:top w:w="60" w:type="dxa"/>
              <w:left w:w="110" w:type="dxa"/>
              <w:bottom w:w="60" w:type="dxa"/>
              <w:right w:w="110" w:type="dxa"/>
            </w:tcMar>
            <w:vAlign w:val="top"/>
          </w:tcPr>
          <w:p>
            <w:pPr>
              <w:spacing w:after="20"/>
            </w:pPr>
            <w:r>
              <w:rPr>
                <w:sz w:val="19"/>
              </w:rPr>
              <w:t>Issued</w:t>
            </w:r>
          </w:p>
        </w:tc>
      </w:tr>
      <w:tr>
        <w:tc>
          <w:tcPr>
            <w:tcW w:type="dxa" w:w="2880"/>
            <w:shd w:val="clear" w:color="auto" w:fill="EAF1F6"/>
            <w:tcMar>
              <w:top w:w="60" w:type="dxa"/>
              <w:left w:w="110" w:type="dxa"/>
              <w:bottom w:w="60" w:type="dxa"/>
              <w:right w:w="110" w:type="dxa"/>
            </w:tcMar>
            <w:vAlign w:val="top"/>
          </w:tcPr>
          <w:p>
            <w:pPr>
              <w:spacing w:after="20"/>
            </w:pPr>
            <w:r>
              <w:rPr>
                <w:b/>
                <w:sz w:val="19"/>
              </w:rPr>
              <w:t>Owner</w:t>
            </w:r>
          </w:p>
        </w:tc>
        <w:tc>
          <w:tcPr>
            <w:tcW w:type="dxa" w:w="6480"/>
            <w:shd w:val="clear" w:color="auto" w:fill="EAF1F6"/>
            <w:tcMar>
              <w:top w:w="60" w:type="dxa"/>
              <w:left w:w="110" w:type="dxa"/>
              <w:bottom w:w="60" w:type="dxa"/>
              <w:right w:w="110" w:type="dxa"/>
            </w:tcMar>
            <w:vAlign w:val="top"/>
          </w:tcPr>
          <w:p>
            <w:pPr>
              <w:spacing w:after="20"/>
            </w:pPr>
            <w:r>
              <w:rPr>
                <w:sz w:val="19"/>
              </w:rPr>
              <w:t>CISO / DPO</w:t>
            </w:r>
          </w:p>
        </w:tc>
      </w:tr>
      <w:tr>
        <w:tc>
          <w:tcPr>
            <w:tcW w:type="dxa" w:w="2880"/>
            <w:tcMar>
              <w:top w:w="60" w:type="dxa"/>
              <w:left w:w="110" w:type="dxa"/>
              <w:bottom w:w="60" w:type="dxa"/>
              <w:right w:w="110" w:type="dxa"/>
            </w:tcMar>
            <w:vAlign w:val="top"/>
          </w:tcPr>
          <w:p>
            <w:pPr>
              <w:spacing w:after="20"/>
            </w:pPr>
            <w:r>
              <w:rPr>
                <w:b/>
                <w:sz w:val="19"/>
              </w:rPr>
              <w:t>Classification</w:t>
            </w:r>
          </w:p>
        </w:tc>
        <w:tc>
          <w:tcPr>
            <w:tcW w:type="dxa" w:w="6480"/>
            <w:tcMar>
              <w:top w:w="60" w:type="dxa"/>
              <w:left w:w="110" w:type="dxa"/>
              <w:bottom w:w="60" w:type="dxa"/>
              <w:right w:w="110" w:type="dxa"/>
            </w:tcMar>
            <w:vAlign w:val="top"/>
          </w:tcPr>
          <w:p>
            <w:pPr>
              <w:spacing w:after="20"/>
            </w:pPr>
            <w:r>
              <w:rPr>
                <w:sz w:val="19"/>
              </w:rPr>
              <w:t>Confidential — Internal</w:t>
            </w:r>
          </w:p>
        </w:tc>
      </w:tr>
      <w:tr>
        <w:tc>
          <w:tcPr>
            <w:tcW w:type="dxa" w:w="2880"/>
            <w:shd w:val="clear" w:color="auto" w:fill="EAF1F6"/>
            <w:tcMar>
              <w:top w:w="60" w:type="dxa"/>
              <w:left w:w="110" w:type="dxa"/>
              <w:bottom w:w="60" w:type="dxa"/>
              <w:right w:w="110" w:type="dxa"/>
            </w:tcMar>
            <w:vAlign w:val="top"/>
          </w:tcPr>
          <w:p>
            <w:pPr>
              <w:spacing w:after="20"/>
            </w:pPr>
            <w:r>
              <w:rPr>
                <w:b/>
                <w:sz w:val="19"/>
              </w:rPr>
              <w:t>Companions</w:t>
            </w:r>
          </w:p>
        </w:tc>
        <w:tc>
          <w:tcPr>
            <w:tcW w:type="dxa" w:w="6480"/>
            <w:shd w:val="clear" w:color="auto" w:fill="EAF1F6"/>
            <w:tcMar>
              <w:top w:w="60" w:type="dxa"/>
              <w:left w:w="110" w:type="dxa"/>
              <w:bottom w:w="60" w:type="dxa"/>
              <w:right w:w="110" w:type="dxa"/>
            </w:tcMar>
            <w:vAlign w:val="top"/>
          </w:tcPr>
          <w:p>
            <w:pPr>
              <w:spacing w:after="20"/>
            </w:pPr>
            <w:r>
              <w:rPr>
                <w:sz w:val="19"/>
              </w:rPr>
              <w:t>EQR-01 §9 · EQR-04 (legal) · EQR-06 (data-sharing) · EQR-07 (AI)</w:t>
            </w:r>
          </w:p>
        </w:tc>
      </w:tr>
    </w:tbl>
    <w:p>
      <w:pPr>
        <w:spacing w:after="40"/>
      </w:pPr>
    </w:p>
    <w:p/>
    <w:p>
      <w:pPr>
        <w:pStyle w:val="Heading1"/>
      </w:pPr>
      <w:r>
        <w:t>Contents</w:t>
      </w:r>
    </w:p>
    <w:p>
      <w:r>
        <w:rPr>
          <w:color w:val="5A6B7B"/>
          <w:sz w:val="16"/>
        </w:rPr>
        <w:fldChar w:fldCharType="begin"/>
        <w:instrText xml:space="preserve">TOC \o "1-3" \h \z \u</w:instrText>
        <w:fldChar w:fldCharType="end"/>
      </w:r>
    </w:p>
    <w:p>
      <w:r>
        <w:rPr>
          <w:i/>
          <w:color w:val="5A6B7B"/>
          <w:sz w:val="17"/>
        </w:rPr>
        <w:t>(Right-click and choose “Update Field”, or press F9, to populate the table of contents.)</w:t>
      </w:r>
    </w:p>
    <w:p>
      <w:r>
        <w:br w:type="page"/>
      </w:r>
    </w:p>
    <w:p>
      <w:pPr>
        <w:pStyle w:val="Heading1"/>
      </w:pPr>
      <w:r>
        <w:t>1. Purpose</w:t>
      </w:r>
    </w:p>
    <w:p>
      <w:pPr>
        <w:spacing w:after="120"/>
      </w:pPr>
      <w:r>
        <w:rPr>
          <w:b w:val="0"/>
        </w:rPr>
        <w:t>Trust is the product in dispute resolution. This pack states how the platform protects personal data and case confidentiality, and how it evidences that protection to regulated clients and auditors. It binds the platform to the finalised DPDP Rules 2025, sets the data-classification and retention scheme, records the threat model and control map, and specifies the identity, signing and AI-governance controls that make outcomes defensible.</w:t>
      </w:r>
    </w:p>
    <w:p>
      <w:pPr>
        <w:pStyle w:val="Heading1"/>
      </w:pPr>
      <w:r>
        <w:t>2. DPDP Act 2023 &amp; DPDP Rules 2025</w:t>
      </w:r>
    </w:p>
    <w:p>
      <w:pPr>
        <w:spacing w:after="120"/>
      </w:pPr>
      <w:r>
        <w:rPr>
          <w:b w:val="0"/>
        </w:rPr>
        <w:t>The Digital Personal Data Protection Act 2023 and its Rules — notified 14 November 2025 — set India's operational data-protection obligations. The platform treats these as first-class, versioned requirements.</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6"/>
              </w:rPr>
              <w:t>Obligation</w:t>
            </w:r>
          </w:p>
        </w:tc>
        <w:tc>
          <w:tcPr>
            <w:tcW w:type="dxa" w:w="3600"/>
            <w:shd w:val="clear" w:color="auto" w:fill="0B2E4F"/>
            <w:tcMar>
              <w:top w:w="60" w:type="dxa"/>
              <w:left w:w="110" w:type="dxa"/>
              <w:bottom w:w="60" w:type="dxa"/>
              <w:right w:w="110" w:type="dxa"/>
            </w:tcMar>
            <w:vAlign w:val="center"/>
          </w:tcPr>
          <w:p>
            <w:pPr>
              <w:spacing w:after="20"/>
            </w:pPr>
            <w:r>
              <w:rPr>
                <w:b/>
                <w:color w:val="FFFFFF"/>
                <w:sz w:val="16"/>
              </w:rPr>
              <w:t>Requirement</w:t>
            </w:r>
          </w:p>
        </w:tc>
        <w:tc>
          <w:tcPr>
            <w:tcW w:type="dxa" w:w="3600"/>
            <w:shd w:val="clear" w:color="auto" w:fill="0B2E4F"/>
            <w:tcMar>
              <w:top w:w="60" w:type="dxa"/>
              <w:left w:w="110" w:type="dxa"/>
              <w:bottom w:w="60" w:type="dxa"/>
              <w:right w:w="110" w:type="dxa"/>
            </w:tcMar>
            <w:vAlign w:val="center"/>
          </w:tcPr>
          <w:p>
            <w:pPr>
              <w:spacing w:after="20"/>
            </w:pPr>
            <w:r>
              <w:rPr>
                <w:b/>
                <w:color w:val="FFFFFF"/>
                <w:sz w:val="16"/>
              </w:rPr>
              <w:t>Platform implementation</w:t>
            </w:r>
          </w:p>
        </w:tc>
      </w:tr>
      <w:tr>
        <w:tc>
          <w:tcPr>
            <w:tcW w:type="dxa" w:w="2160"/>
            <w:tcMar>
              <w:top w:w="60" w:type="dxa"/>
              <w:left w:w="110" w:type="dxa"/>
              <w:bottom w:w="60" w:type="dxa"/>
              <w:right w:w="110" w:type="dxa"/>
            </w:tcMar>
            <w:vAlign w:val="top"/>
          </w:tcPr>
          <w:p>
            <w:pPr>
              <w:spacing w:after="20"/>
            </w:pPr>
            <w:r>
              <w:rPr>
                <w:b/>
                <w:sz w:val="16"/>
              </w:rPr>
              <w:t>Consent</w:t>
            </w:r>
          </w:p>
        </w:tc>
        <w:tc>
          <w:tcPr>
            <w:tcW w:type="dxa" w:w="3600"/>
            <w:tcMar>
              <w:top w:w="60" w:type="dxa"/>
              <w:left w:w="110" w:type="dxa"/>
              <w:bottom w:w="60" w:type="dxa"/>
              <w:right w:w="110" w:type="dxa"/>
            </w:tcMar>
            <w:vAlign w:val="top"/>
          </w:tcPr>
          <w:p>
            <w:pPr>
              <w:spacing w:after="20"/>
            </w:pPr>
            <w:r>
              <w:rPr>
                <w:sz w:val="16"/>
              </w:rPr>
              <w:t>Purpose-bound, informed, withdrawable consent</w:t>
            </w:r>
          </w:p>
        </w:tc>
        <w:tc>
          <w:tcPr>
            <w:tcW w:type="dxa" w:w="3600"/>
            <w:tcMar>
              <w:top w:w="60" w:type="dxa"/>
              <w:left w:w="110" w:type="dxa"/>
              <w:bottom w:w="60" w:type="dxa"/>
              <w:right w:w="110" w:type="dxa"/>
            </w:tcMar>
            <w:vAlign w:val="top"/>
          </w:tcPr>
          <w:p>
            <w:pPr>
              <w:spacing w:after="20"/>
            </w:pPr>
            <w:r>
              <w:rPr>
                <w:sz w:val="16"/>
              </w:rPr>
              <w:t>Consent records per purpose; withdrawal honoured; Dispute Explorer captures informational consent</w:t>
            </w:r>
          </w:p>
        </w:tc>
      </w:tr>
      <w:tr>
        <w:tc>
          <w:tcPr>
            <w:tcW w:type="dxa" w:w="2160"/>
            <w:shd w:val="clear" w:color="auto" w:fill="EAF1F6"/>
            <w:tcMar>
              <w:top w:w="60" w:type="dxa"/>
              <w:left w:w="110" w:type="dxa"/>
              <w:bottom w:w="60" w:type="dxa"/>
              <w:right w:w="110" w:type="dxa"/>
            </w:tcMar>
            <w:vAlign w:val="top"/>
          </w:tcPr>
          <w:p>
            <w:pPr>
              <w:spacing w:after="20"/>
            </w:pPr>
            <w:r>
              <w:rPr>
                <w:b/>
                <w:sz w:val="16"/>
              </w:rPr>
              <w:t>Consent Manager</w:t>
            </w:r>
          </w:p>
        </w:tc>
        <w:tc>
          <w:tcPr>
            <w:tcW w:type="dxa" w:w="3600"/>
            <w:shd w:val="clear" w:color="auto" w:fill="EAF1F6"/>
            <w:tcMar>
              <w:top w:w="60" w:type="dxa"/>
              <w:left w:w="110" w:type="dxa"/>
              <w:bottom w:w="60" w:type="dxa"/>
              <w:right w:w="110" w:type="dxa"/>
            </w:tcMar>
            <w:vAlign w:val="top"/>
          </w:tcPr>
          <w:p>
            <w:pPr>
              <w:spacing w:after="20"/>
            </w:pPr>
            <w:r>
              <w:rPr>
                <w:sz w:val="16"/>
              </w:rPr>
              <w:t>Integrate with registered, interoperable consent managers (live 13 Nov 2026)</w:t>
            </w:r>
          </w:p>
        </w:tc>
        <w:tc>
          <w:tcPr>
            <w:tcW w:type="dxa" w:w="3600"/>
            <w:shd w:val="clear" w:color="auto" w:fill="EAF1F6"/>
            <w:tcMar>
              <w:top w:w="60" w:type="dxa"/>
              <w:left w:w="110" w:type="dxa"/>
              <w:bottom w:w="60" w:type="dxa"/>
              <w:right w:w="110" w:type="dxa"/>
            </w:tcMar>
            <w:vAlign w:val="top"/>
          </w:tcPr>
          <w:p>
            <w:pPr>
              <w:spacing w:after="20"/>
            </w:pPr>
            <w:r>
              <w:rPr>
                <w:sz w:val="16"/>
              </w:rPr>
              <w:t>Consent-manager-ready interface; give/withdraw via third-party</w:t>
            </w:r>
          </w:p>
        </w:tc>
      </w:tr>
      <w:tr>
        <w:tc>
          <w:tcPr>
            <w:tcW w:type="dxa" w:w="2160"/>
            <w:tcMar>
              <w:top w:w="60" w:type="dxa"/>
              <w:left w:w="110" w:type="dxa"/>
              <w:bottom w:w="60" w:type="dxa"/>
              <w:right w:w="110" w:type="dxa"/>
            </w:tcMar>
            <w:vAlign w:val="top"/>
          </w:tcPr>
          <w:p>
            <w:pPr>
              <w:spacing w:after="20"/>
            </w:pPr>
            <w:r>
              <w:rPr>
                <w:b/>
                <w:sz w:val="16"/>
              </w:rPr>
              <w:t>Breach notification</w:t>
            </w:r>
          </w:p>
        </w:tc>
        <w:tc>
          <w:tcPr>
            <w:tcW w:type="dxa" w:w="3600"/>
            <w:tcMar>
              <w:top w:w="60" w:type="dxa"/>
              <w:left w:w="110" w:type="dxa"/>
              <w:bottom w:w="60" w:type="dxa"/>
              <w:right w:w="110" w:type="dxa"/>
            </w:tcMar>
            <w:vAlign w:val="top"/>
          </w:tcPr>
          <w:p>
            <w:pPr>
              <w:spacing w:after="20"/>
            </w:pPr>
            <w:r>
              <w:rPr>
                <w:sz w:val="16"/>
              </w:rPr>
              <w:t>Intimate the Data Protection Board without delay + detailed report within 72 hours; notify affected principals (plain-language)</w:t>
            </w:r>
          </w:p>
        </w:tc>
        <w:tc>
          <w:tcPr>
            <w:tcW w:type="dxa" w:w="3600"/>
            <w:tcMar>
              <w:top w:w="60" w:type="dxa"/>
              <w:left w:w="110" w:type="dxa"/>
              <w:bottom w:w="60" w:type="dxa"/>
              <w:right w:w="110" w:type="dxa"/>
            </w:tcMar>
            <w:vAlign w:val="top"/>
          </w:tcPr>
          <w:p>
            <w:pPr>
              <w:spacing w:after="20"/>
            </w:pPr>
            <w:r>
              <w:rPr>
                <w:sz w:val="16"/>
              </w:rPr>
              <w:t>Breach runbook with 72-hour timeline; templated principal notice; drills</w:t>
            </w:r>
          </w:p>
        </w:tc>
      </w:tr>
      <w:tr>
        <w:tc>
          <w:tcPr>
            <w:tcW w:type="dxa" w:w="2160"/>
            <w:shd w:val="clear" w:color="auto" w:fill="EAF1F6"/>
            <w:tcMar>
              <w:top w:w="60" w:type="dxa"/>
              <w:left w:w="110" w:type="dxa"/>
              <w:bottom w:w="60" w:type="dxa"/>
              <w:right w:w="110" w:type="dxa"/>
            </w:tcMar>
            <w:vAlign w:val="top"/>
          </w:tcPr>
          <w:p>
            <w:pPr>
              <w:spacing w:after="20"/>
            </w:pPr>
            <w:r>
              <w:rPr>
                <w:b/>
                <w:sz w:val="16"/>
              </w:rPr>
              <w:t>Retention of records</w:t>
            </w:r>
          </w:p>
        </w:tc>
        <w:tc>
          <w:tcPr>
            <w:tcW w:type="dxa" w:w="3600"/>
            <w:shd w:val="clear" w:color="auto" w:fill="EAF1F6"/>
            <w:tcMar>
              <w:top w:w="60" w:type="dxa"/>
              <w:left w:w="110" w:type="dxa"/>
              <w:bottom w:w="60" w:type="dxa"/>
              <w:right w:w="110" w:type="dxa"/>
            </w:tcMar>
            <w:vAlign w:val="top"/>
          </w:tcPr>
          <w:p>
            <w:pPr>
              <w:spacing w:after="20"/>
            </w:pPr>
            <w:r>
              <w:rPr>
                <w:sz w:val="16"/>
              </w:rPr>
              <w:t>Consent/notice/sharing records kept ≥ 7 years</w:t>
            </w:r>
          </w:p>
        </w:tc>
        <w:tc>
          <w:tcPr>
            <w:tcW w:type="dxa" w:w="3600"/>
            <w:shd w:val="clear" w:color="auto" w:fill="EAF1F6"/>
            <w:tcMar>
              <w:top w:w="60" w:type="dxa"/>
              <w:left w:w="110" w:type="dxa"/>
              <w:bottom w:w="60" w:type="dxa"/>
              <w:right w:w="110" w:type="dxa"/>
            </w:tcMar>
            <w:vAlign w:val="top"/>
          </w:tcPr>
          <w:p>
            <w:pPr>
              <w:spacing w:after="20"/>
            </w:pPr>
            <w:r>
              <w:rPr>
                <w:sz w:val="16"/>
              </w:rPr>
              <w:t>Retention policy enforces ≥7-yr on consent/notice/sharing logs</w:t>
            </w:r>
          </w:p>
        </w:tc>
      </w:tr>
      <w:tr>
        <w:tc>
          <w:tcPr>
            <w:tcW w:type="dxa" w:w="2160"/>
            <w:tcMar>
              <w:top w:w="60" w:type="dxa"/>
              <w:left w:w="110" w:type="dxa"/>
              <w:bottom w:w="60" w:type="dxa"/>
              <w:right w:w="110" w:type="dxa"/>
            </w:tcMar>
            <w:vAlign w:val="top"/>
          </w:tcPr>
          <w:p>
            <w:pPr>
              <w:spacing w:after="20"/>
            </w:pPr>
            <w:r>
              <w:rPr>
                <w:b/>
                <w:sz w:val="16"/>
              </w:rPr>
              <w:t>Significant Data Fiduciary</w:t>
            </w:r>
          </w:p>
        </w:tc>
        <w:tc>
          <w:tcPr>
            <w:tcW w:type="dxa" w:w="3600"/>
            <w:tcMar>
              <w:top w:w="60" w:type="dxa"/>
              <w:left w:w="110" w:type="dxa"/>
              <w:bottom w:w="60" w:type="dxa"/>
              <w:right w:w="110" w:type="dxa"/>
            </w:tcMar>
            <w:vAlign w:val="top"/>
          </w:tcPr>
          <w:p>
            <w:pPr>
              <w:spacing w:after="20"/>
            </w:pPr>
            <w:r>
              <w:rPr>
                <w:sz w:val="16"/>
              </w:rPr>
              <w:t>If designated: annual DPIA, independent audit, algorithmic-fairness, named DPO</w:t>
            </w:r>
          </w:p>
        </w:tc>
        <w:tc>
          <w:tcPr>
            <w:tcW w:type="dxa" w:w="3600"/>
            <w:tcMar>
              <w:top w:w="60" w:type="dxa"/>
              <w:left w:w="110" w:type="dxa"/>
              <w:bottom w:w="60" w:type="dxa"/>
              <w:right w:w="110" w:type="dxa"/>
            </w:tcMar>
            <w:vAlign w:val="top"/>
          </w:tcPr>
          <w:p>
            <w:pPr>
              <w:spacing w:after="20"/>
            </w:pPr>
            <w:r>
              <w:rPr>
                <w:sz w:val="16"/>
              </w:rPr>
              <w:t>DPIA template, audit hooks, fairness testing (EQR-07), DPO appointed</w:t>
            </w:r>
          </w:p>
        </w:tc>
      </w:tr>
      <w:tr>
        <w:tc>
          <w:tcPr>
            <w:tcW w:type="dxa" w:w="2160"/>
            <w:shd w:val="clear" w:color="auto" w:fill="EAF1F6"/>
            <w:tcMar>
              <w:top w:w="60" w:type="dxa"/>
              <w:left w:w="110" w:type="dxa"/>
              <w:bottom w:w="60" w:type="dxa"/>
              <w:right w:w="110" w:type="dxa"/>
            </w:tcMar>
            <w:vAlign w:val="top"/>
          </w:tcPr>
          <w:p>
            <w:pPr>
              <w:spacing w:after="20"/>
            </w:pPr>
            <w:r>
              <w:rPr>
                <w:b/>
                <w:sz w:val="16"/>
              </w:rPr>
              <w:t>Data principal rights</w:t>
            </w:r>
          </w:p>
        </w:tc>
        <w:tc>
          <w:tcPr>
            <w:tcW w:type="dxa" w:w="3600"/>
            <w:shd w:val="clear" w:color="auto" w:fill="EAF1F6"/>
            <w:tcMar>
              <w:top w:w="60" w:type="dxa"/>
              <w:left w:w="110" w:type="dxa"/>
              <w:bottom w:w="60" w:type="dxa"/>
              <w:right w:w="110" w:type="dxa"/>
            </w:tcMar>
            <w:vAlign w:val="top"/>
          </w:tcPr>
          <w:p>
            <w:pPr>
              <w:spacing w:after="20"/>
            </w:pPr>
            <w:r>
              <w:rPr>
                <w:sz w:val="16"/>
              </w:rPr>
              <w:t>Access, correction, erasure, grievance</w:t>
            </w:r>
          </w:p>
        </w:tc>
        <w:tc>
          <w:tcPr>
            <w:tcW w:type="dxa" w:w="3600"/>
            <w:shd w:val="clear" w:color="auto" w:fill="EAF1F6"/>
            <w:tcMar>
              <w:top w:w="60" w:type="dxa"/>
              <w:left w:w="110" w:type="dxa"/>
              <w:bottom w:w="60" w:type="dxa"/>
              <w:right w:w="110" w:type="dxa"/>
            </w:tcMar>
            <w:vAlign w:val="top"/>
          </w:tcPr>
          <w:p>
            <w:pPr>
              <w:spacing w:after="20"/>
            </w:pPr>
            <w:r>
              <w:rPr>
                <w:sz w:val="16"/>
              </w:rPr>
              <w:t>Self-service rights portal; grievance officer; SLA-tracked</w:t>
            </w:r>
          </w:p>
        </w:tc>
      </w:tr>
    </w:tbl>
    <w:p>
      <w:pPr>
        <w:spacing w:after="40"/>
      </w:pP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EAF1F6"/>
              <w:left w:val="single" w:sz="26" w:space="0" w:color="1F7A8C"/>
              <w:bottom w:val="single" w:sz="4" w:space="0" w:color="EAF1F6"/>
              <w:right w:val="single" w:sz="4" w:space="0" w:color="EAF1F6"/>
            </w:tcBorders>
            <w:shd w:val="clear" w:color="auto" w:fill="EAF1F6"/>
            <w:tcMar>
              <w:top w:w="90" w:type="dxa"/>
              <w:left w:w="150" w:type="dxa"/>
              <w:bottom w:w="90" w:type="dxa"/>
              <w:right w:w="150" w:type="dxa"/>
            </w:tcMar>
          </w:tcPr>
          <w:p>
            <w:r>
              <w:rPr>
                <w:b/>
                <w:color w:val="0B2E4F"/>
                <w:sz w:val="19"/>
              </w:rPr>
              <w:t xml:space="preserve">Compliance calendar.  </w:t>
            </w:r>
            <w:r>
              <w:rPr>
                <w:color w:val="1A1A1A"/>
                <w:sz w:val="19"/>
              </w:rPr>
              <w:t>DPDP Rules notified 14 Nov 2025; Consent Manager framework live 13 Nov 2026; substantive obligations enforceable by ~mid-May 2027. Penalties for failure to notify a breach are severe. Breach drills and the 72-hour clock are treated as production-critical, not paperwork.</w:t>
            </w:r>
          </w:p>
        </w:tc>
      </w:tr>
    </w:tbl>
    <w:p>
      <w:pPr>
        <w:spacing w:after="40"/>
      </w:pPr>
    </w:p>
    <w:p>
      <w:pPr>
        <w:pStyle w:val="Heading1"/>
      </w:pPr>
      <w:r>
        <w:t>3. Data Classification &amp; Retention</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2340"/>
        <w:gridCol w:w="2340"/>
        <w:gridCol w:w="2340"/>
        <w:gridCol w:w="2340"/>
      </w:tblGrid>
      <w:tr>
        <w:trPr>
          <w:tblHeader w:val="true"/>
        </w:trPr>
        <w:tc>
          <w:tcPr>
            <w:tcW w:type="dxa" w:w="1872"/>
            <w:shd w:val="clear" w:color="auto" w:fill="0B2E4F"/>
            <w:tcMar>
              <w:top w:w="60" w:type="dxa"/>
              <w:left w:w="110" w:type="dxa"/>
              <w:bottom w:w="60" w:type="dxa"/>
              <w:right w:w="110" w:type="dxa"/>
            </w:tcMar>
            <w:vAlign w:val="center"/>
          </w:tcPr>
          <w:p>
            <w:pPr>
              <w:spacing w:after="20"/>
            </w:pPr>
            <w:r>
              <w:rPr>
                <w:b/>
                <w:color w:val="FFFFFF"/>
                <w:sz w:val="16"/>
              </w:rPr>
              <w:t>Class</w:t>
            </w:r>
          </w:p>
        </w:tc>
        <w:tc>
          <w:tcPr>
            <w:tcW w:type="dxa" w:w="2880"/>
            <w:shd w:val="clear" w:color="auto" w:fill="0B2E4F"/>
            <w:tcMar>
              <w:top w:w="60" w:type="dxa"/>
              <w:left w:w="110" w:type="dxa"/>
              <w:bottom w:w="60" w:type="dxa"/>
              <w:right w:w="110" w:type="dxa"/>
            </w:tcMar>
            <w:vAlign w:val="center"/>
          </w:tcPr>
          <w:p>
            <w:pPr>
              <w:spacing w:after="20"/>
            </w:pPr>
            <w:r>
              <w:rPr>
                <w:b/>
                <w:color w:val="FFFFFF"/>
                <w:sz w:val="16"/>
              </w:rPr>
              <w:t>Examples</w:t>
            </w:r>
          </w:p>
        </w:tc>
        <w:tc>
          <w:tcPr>
            <w:tcW w:type="dxa" w:w="2880"/>
            <w:shd w:val="clear" w:color="auto" w:fill="0B2E4F"/>
            <w:tcMar>
              <w:top w:w="60" w:type="dxa"/>
              <w:left w:w="110" w:type="dxa"/>
              <w:bottom w:w="60" w:type="dxa"/>
              <w:right w:w="110" w:type="dxa"/>
            </w:tcMar>
            <w:vAlign w:val="center"/>
          </w:tcPr>
          <w:p>
            <w:pPr>
              <w:spacing w:after="20"/>
            </w:pPr>
            <w:r>
              <w:rPr>
                <w:b/>
                <w:color w:val="FFFFFF"/>
                <w:sz w:val="16"/>
              </w:rPr>
              <w:t>Handling</w:t>
            </w:r>
          </w:p>
        </w:tc>
        <w:tc>
          <w:tcPr>
            <w:tcW w:type="dxa" w:w="1728"/>
            <w:shd w:val="clear" w:color="auto" w:fill="0B2E4F"/>
            <w:tcMar>
              <w:top w:w="60" w:type="dxa"/>
              <w:left w:w="110" w:type="dxa"/>
              <w:bottom w:w="60" w:type="dxa"/>
              <w:right w:w="110" w:type="dxa"/>
            </w:tcMar>
            <w:vAlign w:val="center"/>
          </w:tcPr>
          <w:p>
            <w:pPr>
              <w:spacing w:after="20"/>
            </w:pPr>
            <w:r>
              <w:rPr>
                <w:b/>
                <w:color w:val="FFFFFF"/>
                <w:sz w:val="16"/>
              </w:rPr>
              <w:t>Retention</w:t>
            </w:r>
          </w:p>
        </w:tc>
      </w:tr>
      <w:tr>
        <w:tc>
          <w:tcPr>
            <w:tcW w:type="dxa" w:w="1872"/>
            <w:tcMar>
              <w:top w:w="60" w:type="dxa"/>
              <w:left w:w="110" w:type="dxa"/>
              <w:bottom w:w="60" w:type="dxa"/>
              <w:right w:w="110" w:type="dxa"/>
            </w:tcMar>
            <w:vAlign w:val="top"/>
          </w:tcPr>
          <w:p>
            <w:pPr>
              <w:spacing w:after="20"/>
            </w:pPr>
            <w:r>
              <w:rPr>
                <w:b/>
                <w:sz w:val="16"/>
              </w:rPr>
              <w:t>Highly sensitive</w:t>
            </w:r>
          </w:p>
        </w:tc>
        <w:tc>
          <w:tcPr>
            <w:tcW w:type="dxa" w:w="2880"/>
            <w:tcMar>
              <w:top w:w="60" w:type="dxa"/>
              <w:left w:w="110" w:type="dxa"/>
              <w:bottom w:w="60" w:type="dxa"/>
              <w:right w:w="110" w:type="dxa"/>
            </w:tcMar>
            <w:vAlign w:val="top"/>
          </w:tcPr>
          <w:p>
            <w:pPr>
              <w:spacing w:after="20"/>
            </w:pPr>
            <w:r>
              <w:rPr>
                <w:sz w:val="16"/>
              </w:rPr>
              <w:t>POSH/marital identity &amp; narrative, IDs</w:t>
            </w:r>
          </w:p>
        </w:tc>
        <w:tc>
          <w:tcPr>
            <w:tcW w:type="dxa" w:w="2880"/>
            <w:tcMar>
              <w:top w:w="60" w:type="dxa"/>
              <w:left w:w="110" w:type="dxa"/>
              <w:bottom w:w="60" w:type="dxa"/>
              <w:right w:w="110" w:type="dxa"/>
            </w:tcMar>
            <w:vAlign w:val="top"/>
          </w:tcPr>
          <w:p>
            <w:pPr>
              <w:spacing w:after="20"/>
            </w:pPr>
            <w:r>
              <w:rPr>
                <w:sz w:val="16"/>
              </w:rPr>
              <w:t>Field-level encryption; need-to-know; break-glass logging</w:t>
            </w:r>
          </w:p>
        </w:tc>
        <w:tc>
          <w:tcPr>
            <w:tcW w:type="dxa" w:w="1728"/>
            <w:tcMar>
              <w:top w:w="60" w:type="dxa"/>
              <w:left w:w="110" w:type="dxa"/>
              <w:bottom w:w="60" w:type="dxa"/>
              <w:right w:w="110" w:type="dxa"/>
            </w:tcMar>
            <w:vAlign w:val="top"/>
          </w:tcPr>
          <w:p>
            <w:pPr>
              <w:spacing w:after="20"/>
            </w:pPr>
            <w:r>
              <w:rPr>
                <w:sz w:val="16"/>
              </w:rPr>
              <w:t>Per statute + legal hold</w:t>
            </w:r>
          </w:p>
        </w:tc>
      </w:tr>
      <w:tr>
        <w:tc>
          <w:tcPr>
            <w:tcW w:type="dxa" w:w="1872"/>
            <w:shd w:val="clear" w:color="auto" w:fill="EAF1F6"/>
            <w:tcMar>
              <w:top w:w="60" w:type="dxa"/>
              <w:left w:w="110" w:type="dxa"/>
              <w:bottom w:w="60" w:type="dxa"/>
              <w:right w:w="110" w:type="dxa"/>
            </w:tcMar>
            <w:vAlign w:val="top"/>
          </w:tcPr>
          <w:p>
            <w:pPr>
              <w:spacing w:after="20"/>
            </w:pPr>
            <w:r>
              <w:rPr>
                <w:b/>
                <w:sz w:val="16"/>
              </w:rPr>
              <w:t>Sensitive</w:t>
            </w:r>
          </w:p>
        </w:tc>
        <w:tc>
          <w:tcPr>
            <w:tcW w:type="dxa" w:w="2880"/>
            <w:shd w:val="clear" w:color="auto" w:fill="EAF1F6"/>
            <w:tcMar>
              <w:top w:w="60" w:type="dxa"/>
              <w:left w:w="110" w:type="dxa"/>
              <w:bottom w:w="60" w:type="dxa"/>
              <w:right w:w="110" w:type="dxa"/>
            </w:tcMar>
            <w:vAlign w:val="top"/>
          </w:tcPr>
          <w:p>
            <w:pPr>
              <w:spacing w:after="20"/>
            </w:pPr>
            <w:r>
              <w:rPr>
                <w:sz w:val="16"/>
              </w:rPr>
              <w:t>Case facts, evidence, financials</w:t>
            </w:r>
          </w:p>
        </w:tc>
        <w:tc>
          <w:tcPr>
            <w:tcW w:type="dxa" w:w="2880"/>
            <w:shd w:val="clear" w:color="auto" w:fill="EAF1F6"/>
            <w:tcMar>
              <w:top w:w="60" w:type="dxa"/>
              <w:left w:w="110" w:type="dxa"/>
              <w:bottom w:w="60" w:type="dxa"/>
              <w:right w:w="110" w:type="dxa"/>
            </w:tcMar>
            <w:vAlign w:val="top"/>
          </w:tcPr>
          <w:p>
            <w:pPr>
              <w:spacing w:after="20"/>
            </w:pPr>
            <w:r>
              <w:rPr>
                <w:sz w:val="16"/>
              </w:rPr>
              <w:t>Encryption at rest; tier-based access</w:t>
            </w:r>
          </w:p>
        </w:tc>
        <w:tc>
          <w:tcPr>
            <w:tcW w:type="dxa" w:w="1728"/>
            <w:shd w:val="clear" w:color="auto" w:fill="EAF1F6"/>
            <w:tcMar>
              <w:top w:w="60" w:type="dxa"/>
              <w:left w:w="110" w:type="dxa"/>
              <w:bottom w:w="60" w:type="dxa"/>
              <w:right w:w="110" w:type="dxa"/>
            </w:tcMar>
            <w:vAlign w:val="top"/>
          </w:tcPr>
          <w:p>
            <w:pPr>
              <w:spacing w:after="20"/>
            </w:pPr>
            <w:r>
              <w:rPr>
                <w:sz w:val="16"/>
              </w:rPr>
              <w:t>Per limitation/enforcement</w:t>
            </w:r>
          </w:p>
        </w:tc>
      </w:tr>
      <w:tr>
        <w:tc>
          <w:tcPr>
            <w:tcW w:type="dxa" w:w="1872"/>
            <w:tcMar>
              <w:top w:w="60" w:type="dxa"/>
              <w:left w:w="110" w:type="dxa"/>
              <w:bottom w:w="60" w:type="dxa"/>
              <w:right w:w="110" w:type="dxa"/>
            </w:tcMar>
            <w:vAlign w:val="top"/>
          </w:tcPr>
          <w:p>
            <w:pPr>
              <w:spacing w:after="20"/>
            </w:pPr>
            <w:r>
              <w:rPr>
                <w:b/>
                <w:sz w:val="16"/>
              </w:rPr>
              <w:t>Personal</w:t>
            </w:r>
          </w:p>
        </w:tc>
        <w:tc>
          <w:tcPr>
            <w:tcW w:type="dxa" w:w="2880"/>
            <w:tcMar>
              <w:top w:w="60" w:type="dxa"/>
              <w:left w:w="110" w:type="dxa"/>
              <w:bottom w:w="60" w:type="dxa"/>
              <w:right w:w="110" w:type="dxa"/>
            </w:tcMar>
            <w:vAlign w:val="top"/>
          </w:tcPr>
          <w:p>
            <w:pPr>
              <w:spacing w:after="20"/>
            </w:pPr>
            <w:r>
              <w:rPr>
                <w:sz w:val="16"/>
              </w:rPr>
              <w:t>Contact, KYC/KYB</w:t>
            </w:r>
          </w:p>
        </w:tc>
        <w:tc>
          <w:tcPr>
            <w:tcW w:type="dxa" w:w="2880"/>
            <w:tcMar>
              <w:top w:w="60" w:type="dxa"/>
              <w:left w:w="110" w:type="dxa"/>
              <w:bottom w:w="60" w:type="dxa"/>
              <w:right w:w="110" w:type="dxa"/>
            </w:tcMar>
            <w:vAlign w:val="top"/>
          </w:tcPr>
          <w:p>
            <w:pPr>
              <w:spacing w:after="20"/>
            </w:pPr>
            <w:r>
              <w:rPr>
                <w:sz w:val="16"/>
              </w:rPr>
              <w:t>Encrypted; minimised; consented</w:t>
            </w:r>
          </w:p>
        </w:tc>
        <w:tc>
          <w:tcPr>
            <w:tcW w:type="dxa" w:w="1728"/>
            <w:tcMar>
              <w:top w:w="60" w:type="dxa"/>
              <w:left w:w="110" w:type="dxa"/>
              <w:bottom w:w="60" w:type="dxa"/>
              <w:right w:w="110" w:type="dxa"/>
            </w:tcMar>
            <w:vAlign w:val="top"/>
          </w:tcPr>
          <w:p>
            <w:pPr>
              <w:spacing w:after="20"/>
            </w:pPr>
            <w:r>
              <w:rPr>
                <w:sz w:val="16"/>
              </w:rPr>
              <w:t>≥7 yrs for consent/notice</w:t>
            </w:r>
          </w:p>
        </w:tc>
      </w:tr>
      <w:tr>
        <w:tc>
          <w:tcPr>
            <w:tcW w:type="dxa" w:w="1872"/>
            <w:shd w:val="clear" w:color="auto" w:fill="EAF1F6"/>
            <w:tcMar>
              <w:top w:w="60" w:type="dxa"/>
              <w:left w:w="110" w:type="dxa"/>
              <w:bottom w:w="60" w:type="dxa"/>
              <w:right w:w="110" w:type="dxa"/>
            </w:tcMar>
            <w:vAlign w:val="top"/>
          </w:tcPr>
          <w:p>
            <w:pPr>
              <w:spacing w:after="20"/>
            </w:pPr>
            <w:r>
              <w:rPr>
                <w:b/>
                <w:sz w:val="16"/>
              </w:rPr>
              <w:t>Operational</w:t>
            </w:r>
          </w:p>
        </w:tc>
        <w:tc>
          <w:tcPr>
            <w:tcW w:type="dxa" w:w="2880"/>
            <w:shd w:val="clear" w:color="auto" w:fill="EAF1F6"/>
            <w:tcMar>
              <w:top w:w="60" w:type="dxa"/>
              <w:left w:w="110" w:type="dxa"/>
              <w:bottom w:w="60" w:type="dxa"/>
              <w:right w:w="110" w:type="dxa"/>
            </w:tcMar>
            <w:vAlign w:val="top"/>
          </w:tcPr>
          <w:p>
            <w:pPr>
              <w:spacing w:after="20"/>
            </w:pPr>
            <w:r>
              <w:rPr>
                <w:sz w:val="16"/>
              </w:rPr>
              <w:t>Logs (PII-free), metrics</w:t>
            </w:r>
          </w:p>
        </w:tc>
        <w:tc>
          <w:tcPr>
            <w:tcW w:type="dxa" w:w="2880"/>
            <w:shd w:val="clear" w:color="auto" w:fill="EAF1F6"/>
            <w:tcMar>
              <w:top w:w="60" w:type="dxa"/>
              <w:left w:w="110" w:type="dxa"/>
              <w:bottom w:w="60" w:type="dxa"/>
              <w:right w:w="110" w:type="dxa"/>
            </w:tcMar>
            <w:vAlign w:val="top"/>
          </w:tcPr>
          <w:p>
            <w:pPr>
              <w:spacing w:after="20"/>
            </w:pPr>
            <w:r>
              <w:rPr>
                <w:sz w:val="16"/>
              </w:rPr>
              <w:t>Standard controls</w:t>
            </w:r>
          </w:p>
        </w:tc>
        <w:tc>
          <w:tcPr>
            <w:tcW w:type="dxa" w:w="1728"/>
            <w:shd w:val="clear" w:color="auto" w:fill="EAF1F6"/>
            <w:tcMar>
              <w:top w:w="60" w:type="dxa"/>
              <w:left w:w="110" w:type="dxa"/>
              <w:bottom w:w="60" w:type="dxa"/>
              <w:right w:w="110" w:type="dxa"/>
            </w:tcMar>
            <w:vAlign w:val="top"/>
          </w:tcPr>
          <w:p>
            <w:pPr>
              <w:spacing w:after="20"/>
            </w:pPr>
            <w:r>
              <w:rPr>
                <w:sz w:val="16"/>
              </w:rPr>
              <w:t>Rolling per policy</w:t>
            </w:r>
          </w:p>
        </w:tc>
      </w:tr>
      <w:tr>
        <w:tc>
          <w:tcPr>
            <w:tcW w:type="dxa" w:w="1872"/>
            <w:tcMar>
              <w:top w:w="60" w:type="dxa"/>
              <w:left w:w="110" w:type="dxa"/>
              <w:bottom w:w="60" w:type="dxa"/>
              <w:right w:w="110" w:type="dxa"/>
            </w:tcMar>
            <w:vAlign w:val="top"/>
          </w:tcPr>
          <w:p>
            <w:pPr>
              <w:spacing w:after="20"/>
            </w:pPr>
            <w:r>
              <w:rPr>
                <w:b/>
                <w:sz w:val="16"/>
              </w:rPr>
              <w:t>Public</w:t>
            </w:r>
          </w:p>
        </w:tc>
        <w:tc>
          <w:tcPr>
            <w:tcW w:type="dxa" w:w="2880"/>
            <w:tcMar>
              <w:top w:w="60" w:type="dxa"/>
              <w:left w:w="110" w:type="dxa"/>
              <w:bottom w:w="60" w:type="dxa"/>
              <w:right w:w="110" w:type="dxa"/>
            </w:tcMar>
            <w:vAlign w:val="top"/>
          </w:tcPr>
          <w:p>
            <w:pPr>
              <w:spacing w:after="20"/>
            </w:pPr>
            <w:r>
              <w:rPr>
                <w:sz w:val="16"/>
              </w:rPr>
              <w:t>Rate cards, rules</w:t>
            </w:r>
          </w:p>
        </w:tc>
        <w:tc>
          <w:tcPr>
            <w:tcW w:type="dxa" w:w="2880"/>
            <w:tcMar>
              <w:top w:w="60" w:type="dxa"/>
              <w:left w:w="110" w:type="dxa"/>
              <w:bottom w:w="60" w:type="dxa"/>
              <w:right w:w="110" w:type="dxa"/>
            </w:tcMar>
            <w:vAlign w:val="top"/>
          </w:tcPr>
          <w:p>
            <w:pPr>
              <w:spacing w:after="20"/>
            </w:pPr>
            <w:r>
              <w:rPr>
                <w:sz w:val="16"/>
              </w:rPr>
              <w:t>Integrity-protected</w:t>
            </w:r>
          </w:p>
        </w:tc>
        <w:tc>
          <w:tcPr>
            <w:tcW w:type="dxa" w:w="1728"/>
            <w:tcMar>
              <w:top w:w="60" w:type="dxa"/>
              <w:left w:w="110" w:type="dxa"/>
              <w:bottom w:w="60" w:type="dxa"/>
              <w:right w:w="110" w:type="dxa"/>
            </w:tcMar>
            <w:vAlign w:val="top"/>
          </w:tcPr>
          <w:p>
            <w:pPr>
              <w:spacing w:after="20"/>
            </w:pPr>
            <w:r>
              <w:rPr>
                <w:sz w:val="16"/>
              </w:rPr>
              <w:t>Versioned</w:t>
            </w:r>
          </w:p>
        </w:tc>
      </w:tr>
    </w:tbl>
    <w:p>
      <w:pPr>
        <w:spacing w:after="40"/>
      </w:pPr>
    </w:p>
    <w:p>
      <w:pPr>
        <w:pStyle w:val="Heading1"/>
      </w:pPr>
      <w:r>
        <w:t>4. STRIDE Threat Model</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016"/>
            <w:shd w:val="clear" w:color="auto" w:fill="0B2E4F"/>
            <w:tcMar>
              <w:top w:w="60" w:type="dxa"/>
              <w:left w:w="110" w:type="dxa"/>
              <w:bottom w:w="60" w:type="dxa"/>
              <w:right w:w="110" w:type="dxa"/>
            </w:tcMar>
            <w:vAlign w:val="center"/>
          </w:tcPr>
          <w:p>
            <w:pPr>
              <w:spacing w:after="20"/>
            </w:pPr>
            <w:r>
              <w:rPr>
                <w:b/>
                <w:color w:val="FFFFFF"/>
                <w:sz w:val="16"/>
              </w:rPr>
              <w:t>Category</w:t>
            </w:r>
          </w:p>
        </w:tc>
        <w:tc>
          <w:tcPr>
            <w:tcW w:type="dxa" w:w="3600"/>
            <w:shd w:val="clear" w:color="auto" w:fill="0B2E4F"/>
            <w:tcMar>
              <w:top w:w="60" w:type="dxa"/>
              <w:left w:w="110" w:type="dxa"/>
              <w:bottom w:w="60" w:type="dxa"/>
              <w:right w:w="110" w:type="dxa"/>
            </w:tcMar>
            <w:vAlign w:val="center"/>
          </w:tcPr>
          <w:p>
            <w:pPr>
              <w:spacing w:after="20"/>
            </w:pPr>
            <w:r>
              <w:rPr>
                <w:b/>
                <w:color w:val="FFFFFF"/>
                <w:sz w:val="16"/>
              </w:rPr>
              <w:t>Representative threat</w:t>
            </w:r>
          </w:p>
        </w:tc>
        <w:tc>
          <w:tcPr>
            <w:tcW w:type="dxa" w:w="3744"/>
            <w:shd w:val="clear" w:color="auto" w:fill="0B2E4F"/>
            <w:tcMar>
              <w:top w:w="60" w:type="dxa"/>
              <w:left w:w="110" w:type="dxa"/>
              <w:bottom w:w="60" w:type="dxa"/>
              <w:right w:w="110" w:type="dxa"/>
            </w:tcMar>
            <w:vAlign w:val="center"/>
          </w:tcPr>
          <w:p>
            <w:pPr>
              <w:spacing w:after="20"/>
            </w:pPr>
            <w:r>
              <w:rPr>
                <w:b/>
                <w:color w:val="FFFFFF"/>
                <w:sz w:val="16"/>
              </w:rPr>
              <w:t>Mitigation</w:t>
            </w:r>
          </w:p>
        </w:tc>
      </w:tr>
      <w:tr>
        <w:tc>
          <w:tcPr>
            <w:tcW w:type="dxa" w:w="2016"/>
            <w:tcMar>
              <w:top w:w="60" w:type="dxa"/>
              <w:left w:w="110" w:type="dxa"/>
              <w:bottom w:w="60" w:type="dxa"/>
              <w:right w:w="110" w:type="dxa"/>
            </w:tcMar>
            <w:vAlign w:val="top"/>
          </w:tcPr>
          <w:p>
            <w:pPr>
              <w:spacing w:after="20"/>
            </w:pPr>
            <w:r>
              <w:rPr>
                <w:b/>
                <w:sz w:val="16"/>
              </w:rPr>
              <w:t>Spoofing</w:t>
            </w:r>
          </w:p>
        </w:tc>
        <w:tc>
          <w:tcPr>
            <w:tcW w:type="dxa" w:w="3600"/>
            <w:tcMar>
              <w:top w:w="60" w:type="dxa"/>
              <w:left w:w="110" w:type="dxa"/>
              <w:bottom w:w="60" w:type="dxa"/>
              <w:right w:w="110" w:type="dxa"/>
            </w:tcMar>
            <w:vAlign w:val="top"/>
          </w:tcPr>
          <w:p>
            <w:pPr>
              <w:spacing w:after="20"/>
            </w:pPr>
            <w:r>
              <w:rPr>
                <w:sz w:val="16"/>
              </w:rPr>
              <w:t>Impersonation at hearing/e-sign</w:t>
            </w:r>
          </w:p>
        </w:tc>
        <w:tc>
          <w:tcPr>
            <w:tcW w:type="dxa" w:w="3744"/>
            <w:tcMar>
              <w:top w:w="60" w:type="dxa"/>
              <w:left w:w="110" w:type="dxa"/>
              <w:bottom w:w="60" w:type="dxa"/>
              <w:right w:w="110" w:type="dxa"/>
            </w:tcMar>
            <w:vAlign w:val="top"/>
          </w:tcPr>
          <w:p>
            <w:pPr>
              <w:spacing w:after="20"/>
            </w:pPr>
            <w:r>
              <w:rPr>
                <w:sz w:val="16"/>
              </w:rPr>
              <w:t>MFA, liveness/face-match, step-up auth</w:t>
            </w:r>
          </w:p>
        </w:tc>
      </w:tr>
      <w:tr>
        <w:tc>
          <w:tcPr>
            <w:tcW w:type="dxa" w:w="2016"/>
            <w:shd w:val="clear" w:color="auto" w:fill="EAF1F6"/>
            <w:tcMar>
              <w:top w:w="60" w:type="dxa"/>
              <w:left w:w="110" w:type="dxa"/>
              <w:bottom w:w="60" w:type="dxa"/>
              <w:right w:w="110" w:type="dxa"/>
            </w:tcMar>
            <w:vAlign w:val="top"/>
          </w:tcPr>
          <w:p>
            <w:pPr>
              <w:spacing w:after="20"/>
            </w:pPr>
            <w:r>
              <w:rPr>
                <w:b/>
                <w:sz w:val="16"/>
              </w:rPr>
              <w:t>Tampering</w:t>
            </w:r>
          </w:p>
        </w:tc>
        <w:tc>
          <w:tcPr>
            <w:tcW w:type="dxa" w:w="3600"/>
            <w:shd w:val="clear" w:color="auto" w:fill="EAF1F6"/>
            <w:tcMar>
              <w:top w:w="60" w:type="dxa"/>
              <w:left w:w="110" w:type="dxa"/>
              <w:bottom w:w="60" w:type="dxa"/>
              <w:right w:w="110" w:type="dxa"/>
            </w:tcMar>
            <w:vAlign w:val="top"/>
          </w:tcPr>
          <w:p>
            <w:pPr>
              <w:spacing w:after="20"/>
            </w:pPr>
            <w:r>
              <w:rPr>
                <w:sz w:val="16"/>
              </w:rPr>
              <w:t>Altered evidence/award</w:t>
            </w:r>
          </w:p>
        </w:tc>
        <w:tc>
          <w:tcPr>
            <w:tcW w:type="dxa" w:w="3744"/>
            <w:shd w:val="clear" w:color="auto" w:fill="EAF1F6"/>
            <w:tcMar>
              <w:top w:w="60" w:type="dxa"/>
              <w:left w:w="110" w:type="dxa"/>
              <w:bottom w:w="60" w:type="dxa"/>
              <w:right w:w="110" w:type="dxa"/>
            </w:tcMar>
            <w:vAlign w:val="top"/>
          </w:tcPr>
          <w:p>
            <w:pPr>
              <w:spacing w:after="20"/>
            </w:pPr>
            <w:r>
              <w:rPr>
                <w:sz w:val="16"/>
              </w:rPr>
              <w:t>Content hashing, chain of custody, qualified timestamps, WORM audit</w:t>
            </w:r>
          </w:p>
        </w:tc>
      </w:tr>
      <w:tr>
        <w:tc>
          <w:tcPr>
            <w:tcW w:type="dxa" w:w="2016"/>
            <w:tcMar>
              <w:top w:w="60" w:type="dxa"/>
              <w:left w:w="110" w:type="dxa"/>
              <w:bottom w:w="60" w:type="dxa"/>
              <w:right w:w="110" w:type="dxa"/>
            </w:tcMar>
            <w:vAlign w:val="top"/>
          </w:tcPr>
          <w:p>
            <w:pPr>
              <w:spacing w:after="20"/>
            </w:pPr>
            <w:r>
              <w:rPr>
                <w:b/>
                <w:sz w:val="16"/>
              </w:rPr>
              <w:t>Repudiation</w:t>
            </w:r>
          </w:p>
        </w:tc>
        <w:tc>
          <w:tcPr>
            <w:tcW w:type="dxa" w:w="3600"/>
            <w:tcMar>
              <w:top w:w="60" w:type="dxa"/>
              <w:left w:w="110" w:type="dxa"/>
              <w:bottom w:w="60" w:type="dxa"/>
              <w:right w:w="110" w:type="dxa"/>
            </w:tcMar>
            <w:vAlign w:val="top"/>
          </w:tcPr>
          <w:p>
            <w:pPr>
              <w:spacing w:after="20"/>
            </w:pPr>
            <w:r>
              <w:rPr>
                <w:sz w:val="16"/>
              </w:rPr>
              <w:t>Party denies action</w:t>
            </w:r>
          </w:p>
        </w:tc>
        <w:tc>
          <w:tcPr>
            <w:tcW w:type="dxa" w:w="3744"/>
            <w:tcMar>
              <w:top w:w="60" w:type="dxa"/>
              <w:left w:w="110" w:type="dxa"/>
              <w:bottom w:w="60" w:type="dxa"/>
              <w:right w:w="110" w:type="dxa"/>
            </w:tcMar>
            <w:vAlign w:val="top"/>
          </w:tcPr>
          <w:p>
            <w:pPr>
              <w:spacing w:after="20"/>
            </w:pPr>
            <w:r>
              <w:rPr>
                <w:sz w:val="16"/>
              </w:rPr>
              <w:t>Immutable hash-chained audit; signed service certificates</w:t>
            </w:r>
          </w:p>
        </w:tc>
      </w:tr>
      <w:tr>
        <w:tc>
          <w:tcPr>
            <w:tcW w:type="dxa" w:w="2016"/>
            <w:shd w:val="clear" w:color="auto" w:fill="EAF1F6"/>
            <w:tcMar>
              <w:top w:w="60" w:type="dxa"/>
              <w:left w:w="110" w:type="dxa"/>
              <w:bottom w:w="60" w:type="dxa"/>
              <w:right w:w="110" w:type="dxa"/>
            </w:tcMar>
            <w:vAlign w:val="top"/>
          </w:tcPr>
          <w:p>
            <w:pPr>
              <w:spacing w:after="20"/>
            </w:pPr>
            <w:r>
              <w:rPr>
                <w:b/>
                <w:sz w:val="16"/>
              </w:rPr>
              <w:t>Information disclosure</w:t>
            </w:r>
          </w:p>
        </w:tc>
        <w:tc>
          <w:tcPr>
            <w:tcW w:type="dxa" w:w="3600"/>
            <w:shd w:val="clear" w:color="auto" w:fill="EAF1F6"/>
            <w:tcMar>
              <w:top w:w="60" w:type="dxa"/>
              <w:left w:w="110" w:type="dxa"/>
              <w:bottom w:w="60" w:type="dxa"/>
              <w:right w:w="110" w:type="dxa"/>
            </w:tcMar>
            <w:vAlign w:val="top"/>
          </w:tcPr>
          <w:p>
            <w:pPr>
              <w:spacing w:after="20"/>
            </w:pPr>
            <w:r>
              <w:rPr>
                <w:sz w:val="16"/>
              </w:rPr>
              <w:t>POSH/marital leak</w:t>
            </w:r>
          </w:p>
        </w:tc>
        <w:tc>
          <w:tcPr>
            <w:tcW w:type="dxa" w:w="3744"/>
            <w:shd w:val="clear" w:color="auto" w:fill="EAF1F6"/>
            <w:tcMar>
              <w:top w:w="60" w:type="dxa"/>
              <w:left w:w="110" w:type="dxa"/>
              <w:bottom w:w="60" w:type="dxa"/>
              <w:right w:w="110" w:type="dxa"/>
            </w:tcMar>
            <w:vAlign w:val="top"/>
          </w:tcPr>
          <w:p>
            <w:pPr>
              <w:spacing w:after="20"/>
            </w:pPr>
            <w:r>
              <w:rPr>
                <w:sz w:val="16"/>
              </w:rPr>
              <w:t>Field encryption, tiered access, redaction, screenshot protection</w:t>
            </w:r>
          </w:p>
        </w:tc>
      </w:tr>
      <w:tr>
        <w:tc>
          <w:tcPr>
            <w:tcW w:type="dxa" w:w="2016"/>
            <w:tcMar>
              <w:top w:w="60" w:type="dxa"/>
              <w:left w:w="110" w:type="dxa"/>
              <w:bottom w:w="60" w:type="dxa"/>
              <w:right w:w="110" w:type="dxa"/>
            </w:tcMar>
            <w:vAlign w:val="top"/>
          </w:tcPr>
          <w:p>
            <w:pPr>
              <w:spacing w:after="20"/>
            </w:pPr>
            <w:r>
              <w:rPr>
                <w:b/>
                <w:sz w:val="16"/>
              </w:rPr>
              <w:t>Denial of service</w:t>
            </w:r>
          </w:p>
        </w:tc>
        <w:tc>
          <w:tcPr>
            <w:tcW w:type="dxa" w:w="3600"/>
            <w:tcMar>
              <w:top w:w="60" w:type="dxa"/>
              <w:left w:w="110" w:type="dxa"/>
              <w:bottom w:w="60" w:type="dxa"/>
              <w:right w:w="110" w:type="dxa"/>
            </w:tcMar>
            <w:vAlign w:val="top"/>
          </w:tcPr>
          <w:p>
            <w:pPr>
              <w:spacing w:after="20"/>
            </w:pPr>
            <w:r>
              <w:rPr>
                <w:sz w:val="16"/>
              </w:rPr>
              <w:t>Filing/hearing outage</w:t>
            </w:r>
          </w:p>
        </w:tc>
        <w:tc>
          <w:tcPr>
            <w:tcW w:type="dxa" w:w="3744"/>
            <w:tcMar>
              <w:top w:w="60" w:type="dxa"/>
              <w:left w:w="110" w:type="dxa"/>
              <w:bottom w:w="60" w:type="dxa"/>
              <w:right w:w="110" w:type="dxa"/>
            </w:tcMar>
            <w:vAlign w:val="top"/>
          </w:tcPr>
          <w:p>
            <w:pPr>
              <w:spacing w:after="20"/>
            </w:pPr>
            <w:r>
              <w:rPr>
                <w:sz w:val="16"/>
              </w:rPr>
              <w:t>Autoscaling, rate limits, graceful degradation, multi-AZ</w:t>
            </w:r>
          </w:p>
        </w:tc>
      </w:tr>
      <w:tr>
        <w:tc>
          <w:tcPr>
            <w:tcW w:type="dxa" w:w="2016"/>
            <w:shd w:val="clear" w:color="auto" w:fill="EAF1F6"/>
            <w:tcMar>
              <w:top w:w="60" w:type="dxa"/>
              <w:left w:w="110" w:type="dxa"/>
              <w:bottom w:w="60" w:type="dxa"/>
              <w:right w:w="110" w:type="dxa"/>
            </w:tcMar>
            <w:vAlign w:val="top"/>
          </w:tcPr>
          <w:p>
            <w:pPr>
              <w:spacing w:after="20"/>
            </w:pPr>
            <w:r>
              <w:rPr>
                <w:b/>
                <w:sz w:val="16"/>
              </w:rPr>
              <w:t>Elevation of privilege</w:t>
            </w:r>
          </w:p>
        </w:tc>
        <w:tc>
          <w:tcPr>
            <w:tcW w:type="dxa" w:w="3600"/>
            <w:shd w:val="clear" w:color="auto" w:fill="EAF1F6"/>
            <w:tcMar>
              <w:top w:w="60" w:type="dxa"/>
              <w:left w:w="110" w:type="dxa"/>
              <w:bottom w:w="60" w:type="dxa"/>
              <w:right w:w="110" w:type="dxa"/>
            </w:tcMar>
            <w:vAlign w:val="top"/>
          </w:tcPr>
          <w:p>
            <w:pPr>
              <w:spacing w:after="20"/>
            </w:pPr>
            <w:r>
              <w:rPr>
                <w:sz w:val="16"/>
              </w:rPr>
              <w:t>Role/tenant escape</w:t>
            </w:r>
          </w:p>
        </w:tc>
        <w:tc>
          <w:tcPr>
            <w:tcW w:type="dxa" w:w="3744"/>
            <w:shd w:val="clear" w:color="auto" w:fill="EAF1F6"/>
            <w:tcMar>
              <w:top w:w="60" w:type="dxa"/>
              <w:left w:w="110" w:type="dxa"/>
              <w:bottom w:w="60" w:type="dxa"/>
              <w:right w:w="110" w:type="dxa"/>
            </w:tcMar>
            <w:vAlign w:val="top"/>
          </w:tcPr>
          <w:p>
            <w:pPr>
              <w:spacing w:after="20"/>
            </w:pPr>
            <w:r>
              <w:rPr>
                <w:sz w:val="16"/>
              </w:rPr>
              <w:t>RBAC+ABAC, least privilege, tenant isolation, reviews</w:t>
            </w:r>
          </w:p>
        </w:tc>
      </w:tr>
    </w:tbl>
    <w:p>
      <w:pPr>
        <w:spacing w:after="40"/>
      </w:pPr>
    </w:p>
    <w:p>
      <w:pPr>
        <w:pStyle w:val="Heading1"/>
      </w:pPr>
      <w:r>
        <w:t>5. ISO 27001 / SOC 2 Control Map (selected)</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0B2E4F"/>
            <w:tcMar>
              <w:top w:w="60" w:type="dxa"/>
              <w:left w:w="110" w:type="dxa"/>
              <w:bottom w:w="60" w:type="dxa"/>
              <w:right w:w="110" w:type="dxa"/>
            </w:tcMar>
            <w:vAlign w:val="center"/>
          </w:tcPr>
          <w:p>
            <w:pPr>
              <w:spacing w:after="20"/>
            </w:pPr>
            <w:r>
              <w:rPr>
                <w:b/>
                <w:color w:val="FFFFFF"/>
                <w:sz w:val="16"/>
              </w:rPr>
              <w:t>Domain</w:t>
            </w:r>
          </w:p>
        </w:tc>
        <w:tc>
          <w:tcPr>
            <w:tcW w:type="dxa" w:w="3744"/>
            <w:shd w:val="clear" w:color="auto" w:fill="0B2E4F"/>
            <w:tcMar>
              <w:top w:w="60" w:type="dxa"/>
              <w:left w:w="110" w:type="dxa"/>
              <w:bottom w:w="60" w:type="dxa"/>
              <w:right w:w="110" w:type="dxa"/>
            </w:tcMar>
            <w:vAlign w:val="center"/>
          </w:tcPr>
          <w:p>
            <w:pPr>
              <w:spacing w:after="20"/>
            </w:pPr>
            <w:r>
              <w:rPr>
                <w:b/>
                <w:color w:val="FFFFFF"/>
                <w:sz w:val="16"/>
              </w:rPr>
              <w:t>Control</w:t>
            </w:r>
          </w:p>
        </w:tc>
        <w:tc>
          <w:tcPr>
            <w:tcW w:type="dxa" w:w="3456"/>
            <w:shd w:val="clear" w:color="auto" w:fill="0B2E4F"/>
            <w:tcMar>
              <w:top w:w="60" w:type="dxa"/>
              <w:left w:w="110" w:type="dxa"/>
              <w:bottom w:w="60" w:type="dxa"/>
              <w:right w:w="110" w:type="dxa"/>
            </w:tcMar>
            <w:vAlign w:val="center"/>
          </w:tcPr>
          <w:p>
            <w:pPr>
              <w:spacing w:after="20"/>
            </w:pPr>
            <w:r>
              <w:rPr>
                <w:b/>
                <w:color w:val="FFFFFF"/>
                <w:sz w:val="16"/>
              </w:rPr>
              <w:t>Evidence</w:t>
            </w:r>
          </w:p>
        </w:tc>
      </w:tr>
      <w:tr>
        <w:tc>
          <w:tcPr>
            <w:tcW w:type="dxa" w:w="2160"/>
            <w:tcMar>
              <w:top w:w="60" w:type="dxa"/>
              <w:left w:w="110" w:type="dxa"/>
              <w:bottom w:w="60" w:type="dxa"/>
              <w:right w:w="110" w:type="dxa"/>
            </w:tcMar>
            <w:vAlign w:val="top"/>
          </w:tcPr>
          <w:p>
            <w:pPr>
              <w:spacing w:after="20"/>
            </w:pPr>
            <w:r>
              <w:rPr>
                <w:b/>
                <w:sz w:val="16"/>
              </w:rPr>
              <w:t>Access control</w:t>
            </w:r>
          </w:p>
        </w:tc>
        <w:tc>
          <w:tcPr>
            <w:tcW w:type="dxa" w:w="3744"/>
            <w:tcMar>
              <w:top w:w="60" w:type="dxa"/>
              <w:left w:w="110" w:type="dxa"/>
              <w:bottom w:w="60" w:type="dxa"/>
              <w:right w:w="110" w:type="dxa"/>
            </w:tcMar>
            <w:vAlign w:val="top"/>
          </w:tcPr>
          <w:p>
            <w:pPr>
              <w:spacing w:after="20"/>
            </w:pPr>
            <w:r>
              <w:rPr>
                <w:sz w:val="16"/>
              </w:rPr>
              <w:t>RBAC+ABAC, least privilege, joiner-mover-leaver</w:t>
            </w:r>
          </w:p>
        </w:tc>
        <w:tc>
          <w:tcPr>
            <w:tcW w:type="dxa" w:w="3456"/>
            <w:tcMar>
              <w:top w:w="60" w:type="dxa"/>
              <w:left w:w="110" w:type="dxa"/>
              <w:bottom w:w="60" w:type="dxa"/>
              <w:right w:w="110" w:type="dxa"/>
            </w:tcMar>
            <w:vAlign w:val="top"/>
          </w:tcPr>
          <w:p>
            <w:pPr>
              <w:spacing w:after="20"/>
            </w:pPr>
            <w:r>
              <w:rPr>
                <w:sz w:val="16"/>
              </w:rPr>
              <w:t>Access reviews, logs</w:t>
            </w:r>
          </w:p>
        </w:tc>
      </w:tr>
      <w:tr>
        <w:tc>
          <w:tcPr>
            <w:tcW w:type="dxa" w:w="2160"/>
            <w:shd w:val="clear" w:color="auto" w:fill="EAF1F6"/>
            <w:tcMar>
              <w:top w:w="60" w:type="dxa"/>
              <w:left w:w="110" w:type="dxa"/>
              <w:bottom w:w="60" w:type="dxa"/>
              <w:right w:w="110" w:type="dxa"/>
            </w:tcMar>
            <w:vAlign w:val="top"/>
          </w:tcPr>
          <w:p>
            <w:pPr>
              <w:spacing w:after="20"/>
            </w:pPr>
            <w:r>
              <w:rPr>
                <w:b/>
                <w:sz w:val="16"/>
              </w:rPr>
              <w:t>Cryptography</w:t>
            </w:r>
          </w:p>
        </w:tc>
        <w:tc>
          <w:tcPr>
            <w:tcW w:type="dxa" w:w="3744"/>
            <w:shd w:val="clear" w:color="auto" w:fill="EAF1F6"/>
            <w:tcMar>
              <w:top w:w="60" w:type="dxa"/>
              <w:left w:w="110" w:type="dxa"/>
              <w:bottom w:w="60" w:type="dxa"/>
              <w:right w:w="110" w:type="dxa"/>
            </w:tcMar>
            <w:vAlign w:val="top"/>
          </w:tcPr>
          <w:p>
            <w:pPr>
              <w:spacing w:after="20"/>
            </w:pPr>
            <w:r>
              <w:rPr>
                <w:sz w:val="16"/>
              </w:rPr>
              <w:t>TLS, at-rest &amp; field-level encryption, key management</w:t>
            </w:r>
          </w:p>
        </w:tc>
        <w:tc>
          <w:tcPr>
            <w:tcW w:type="dxa" w:w="3456"/>
            <w:shd w:val="clear" w:color="auto" w:fill="EAF1F6"/>
            <w:tcMar>
              <w:top w:w="60" w:type="dxa"/>
              <w:left w:w="110" w:type="dxa"/>
              <w:bottom w:w="60" w:type="dxa"/>
              <w:right w:w="110" w:type="dxa"/>
            </w:tcMar>
            <w:vAlign w:val="top"/>
          </w:tcPr>
          <w:p>
            <w:pPr>
              <w:spacing w:after="20"/>
            </w:pPr>
            <w:r>
              <w:rPr>
                <w:sz w:val="16"/>
              </w:rPr>
              <w:t>Key rotation records</w:t>
            </w:r>
          </w:p>
        </w:tc>
      </w:tr>
      <w:tr>
        <w:tc>
          <w:tcPr>
            <w:tcW w:type="dxa" w:w="2160"/>
            <w:tcMar>
              <w:top w:w="60" w:type="dxa"/>
              <w:left w:w="110" w:type="dxa"/>
              <w:bottom w:w="60" w:type="dxa"/>
              <w:right w:w="110" w:type="dxa"/>
            </w:tcMar>
            <w:vAlign w:val="top"/>
          </w:tcPr>
          <w:p>
            <w:pPr>
              <w:spacing w:after="20"/>
            </w:pPr>
            <w:r>
              <w:rPr>
                <w:b/>
                <w:sz w:val="16"/>
              </w:rPr>
              <w:t>Operations</w:t>
            </w:r>
          </w:p>
        </w:tc>
        <w:tc>
          <w:tcPr>
            <w:tcW w:type="dxa" w:w="3744"/>
            <w:tcMar>
              <w:top w:w="60" w:type="dxa"/>
              <w:left w:w="110" w:type="dxa"/>
              <w:bottom w:w="60" w:type="dxa"/>
              <w:right w:w="110" w:type="dxa"/>
            </w:tcMar>
            <w:vAlign w:val="top"/>
          </w:tcPr>
          <w:p>
            <w:pPr>
              <w:spacing w:after="20"/>
            </w:pPr>
            <w:r>
              <w:rPr>
                <w:sz w:val="16"/>
              </w:rPr>
              <w:t>Change management, backups, monitoring</w:t>
            </w:r>
          </w:p>
        </w:tc>
        <w:tc>
          <w:tcPr>
            <w:tcW w:type="dxa" w:w="3456"/>
            <w:tcMar>
              <w:top w:w="60" w:type="dxa"/>
              <w:left w:w="110" w:type="dxa"/>
              <w:bottom w:w="60" w:type="dxa"/>
              <w:right w:w="110" w:type="dxa"/>
            </w:tcMar>
            <w:vAlign w:val="top"/>
          </w:tcPr>
          <w:p>
            <w:pPr>
              <w:spacing w:after="20"/>
            </w:pPr>
            <w:r>
              <w:rPr>
                <w:sz w:val="16"/>
              </w:rPr>
              <w:t>Change log, restore drills</w:t>
            </w:r>
          </w:p>
        </w:tc>
      </w:tr>
      <w:tr>
        <w:tc>
          <w:tcPr>
            <w:tcW w:type="dxa" w:w="2160"/>
            <w:shd w:val="clear" w:color="auto" w:fill="EAF1F6"/>
            <w:tcMar>
              <w:top w:w="60" w:type="dxa"/>
              <w:left w:w="110" w:type="dxa"/>
              <w:bottom w:w="60" w:type="dxa"/>
              <w:right w:w="110" w:type="dxa"/>
            </w:tcMar>
            <w:vAlign w:val="top"/>
          </w:tcPr>
          <w:p>
            <w:pPr>
              <w:spacing w:after="20"/>
            </w:pPr>
            <w:r>
              <w:rPr>
                <w:b/>
                <w:sz w:val="16"/>
              </w:rPr>
              <w:t>Supplier</w:t>
            </w:r>
          </w:p>
        </w:tc>
        <w:tc>
          <w:tcPr>
            <w:tcW w:type="dxa" w:w="3744"/>
            <w:shd w:val="clear" w:color="auto" w:fill="EAF1F6"/>
            <w:tcMar>
              <w:top w:w="60" w:type="dxa"/>
              <w:left w:w="110" w:type="dxa"/>
              <w:bottom w:w="60" w:type="dxa"/>
              <w:right w:w="110" w:type="dxa"/>
            </w:tcMar>
            <w:vAlign w:val="top"/>
          </w:tcPr>
          <w:p>
            <w:pPr>
              <w:spacing w:after="20"/>
            </w:pPr>
            <w:r>
              <w:rPr>
                <w:sz w:val="16"/>
              </w:rPr>
              <w:t>Processor DPAs (Razorpay, PayPal, Claude, NeSL)</w:t>
            </w:r>
          </w:p>
        </w:tc>
        <w:tc>
          <w:tcPr>
            <w:tcW w:type="dxa" w:w="3456"/>
            <w:shd w:val="clear" w:color="auto" w:fill="EAF1F6"/>
            <w:tcMar>
              <w:top w:w="60" w:type="dxa"/>
              <w:left w:w="110" w:type="dxa"/>
              <w:bottom w:w="60" w:type="dxa"/>
              <w:right w:w="110" w:type="dxa"/>
            </w:tcMar>
            <w:vAlign w:val="top"/>
          </w:tcPr>
          <w:p>
            <w:pPr>
              <w:spacing w:after="20"/>
            </w:pPr>
            <w:r>
              <w:rPr>
                <w:sz w:val="16"/>
              </w:rPr>
              <w:t>Contracts, sub-processor list</w:t>
            </w:r>
          </w:p>
        </w:tc>
      </w:tr>
      <w:tr>
        <w:tc>
          <w:tcPr>
            <w:tcW w:type="dxa" w:w="2160"/>
            <w:tcMar>
              <w:top w:w="60" w:type="dxa"/>
              <w:left w:w="110" w:type="dxa"/>
              <w:bottom w:w="60" w:type="dxa"/>
              <w:right w:w="110" w:type="dxa"/>
            </w:tcMar>
            <w:vAlign w:val="top"/>
          </w:tcPr>
          <w:p>
            <w:pPr>
              <w:spacing w:after="20"/>
            </w:pPr>
            <w:r>
              <w:rPr>
                <w:b/>
                <w:sz w:val="16"/>
              </w:rPr>
              <w:t>Resilience</w:t>
            </w:r>
          </w:p>
        </w:tc>
        <w:tc>
          <w:tcPr>
            <w:tcW w:type="dxa" w:w="3744"/>
            <w:tcMar>
              <w:top w:w="60" w:type="dxa"/>
              <w:left w:w="110" w:type="dxa"/>
              <w:bottom w:w="60" w:type="dxa"/>
              <w:right w:w="110" w:type="dxa"/>
            </w:tcMar>
            <w:vAlign w:val="top"/>
          </w:tcPr>
          <w:p>
            <w:pPr>
              <w:spacing w:after="20"/>
            </w:pPr>
            <w:r>
              <w:rPr>
                <w:sz w:val="16"/>
              </w:rPr>
              <w:t>Multi-AZ, DR, RPO≤15m/RTO≤2h</w:t>
            </w:r>
          </w:p>
        </w:tc>
        <w:tc>
          <w:tcPr>
            <w:tcW w:type="dxa" w:w="3456"/>
            <w:tcMar>
              <w:top w:w="60" w:type="dxa"/>
              <w:left w:w="110" w:type="dxa"/>
              <w:bottom w:w="60" w:type="dxa"/>
              <w:right w:w="110" w:type="dxa"/>
            </w:tcMar>
            <w:vAlign w:val="top"/>
          </w:tcPr>
          <w:p>
            <w:pPr>
              <w:spacing w:after="20"/>
            </w:pPr>
            <w:r>
              <w:rPr>
                <w:sz w:val="16"/>
              </w:rPr>
              <w:t>Failover game-days</w:t>
            </w:r>
          </w:p>
        </w:tc>
      </w:tr>
      <w:tr>
        <w:tc>
          <w:tcPr>
            <w:tcW w:type="dxa" w:w="2160"/>
            <w:shd w:val="clear" w:color="auto" w:fill="EAF1F6"/>
            <w:tcMar>
              <w:top w:w="60" w:type="dxa"/>
              <w:left w:w="110" w:type="dxa"/>
              <w:bottom w:w="60" w:type="dxa"/>
              <w:right w:w="110" w:type="dxa"/>
            </w:tcMar>
            <w:vAlign w:val="top"/>
          </w:tcPr>
          <w:p>
            <w:pPr>
              <w:spacing w:after="20"/>
            </w:pPr>
            <w:r>
              <w:rPr>
                <w:b/>
                <w:sz w:val="16"/>
              </w:rPr>
              <w:t>Incident mgmt</w:t>
            </w:r>
          </w:p>
        </w:tc>
        <w:tc>
          <w:tcPr>
            <w:tcW w:type="dxa" w:w="3744"/>
            <w:shd w:val="clear" w:color="auto" w:fill="EAF1F6"/>
            <w:tcMar>
              <w:top w:w="60" w:type="dxa"/>
              <w:left w:w="110" w:type="dxa"/>
              <w:bottom w:w="60" w:type="dxa"/>
              <w:right w:w="110" w:type="dxa"/>
            </w:tcMar>
            <w:vAlign w:val="top"/>
          </w:tcPr>
          <w:p>
            <w:pPr>
              <w:spacing w:after="20"/>
            </w:pPr>
            <w:r>
              <w:rPr>
                <w:sz w:val="16"/>
              </w:rPr>
              <w:t>Detection, response, breach 72h</w:t>
            </w:r>
          </w:p>
        </w:tc>
        <w:tc>
          <w:tcPr>
            <w:tcW w:type="dxa" w:w="3456"/>
            <w:shd w:val="clear" w:color="auto" w:fill="EAF1F6"/>
            <w:tcMar>
              <w:top w:w="60" w:type="dxa"/>
              <w:left w:w="110" w:type="dxa"/>
              <w:bottom w:w="60" w:type="dxa"/>
              <w:right w:w="110" w:type="dxa"/>
            </w:tcMar>
            <w:vAlign w:val="top"/>
          </w:tcPr>
          <w:p>
            <w:pPr>
              <w:spacing w:after="20"/>
            </w:pPr>
            <w:r>
              <w:rPr>
                <w:sz w:val="16"/>
              </w:rPr>
              <w:t>Runbooks, drill records</w:t>
            </w:r>
          </w:p>
        </w:tc>
      </w:tr>
    </w:tbl>
    <w:p>
      <w:pPr>
        <w:spacing w:after="40"/>
      </w:pPr>
    </w:p>
    <w:p>
      <w:pPr>
        <w:spacing w:after="120"/>
      </w:pPr>
      <w:r>
        <w:rPr>
          <w:b w:val="0"/>
        </w:rPr>
        <w:t>Target: ISO 27001 certification and SOC 2 Type II as procurement/trust signals (Phase 4, EQR-01 §16).</w:t>
      </w:r>
    </w:p>
    <w:p>
      <w:pPr>
        <w:pStyle w:val="Heading1"/>
      </w:pPr>
      <w:r>
        <w:t>6. Identity Assurance, Fraud &amp; Deepfake Defence</w:t>
      </w:r>
    </w:p>
    <w:p>
      <w:pPr>
        <w:pStyle w:val="ListBullet"/>
      </w:pPr>
      <w:r>
        <w:rPr>
          <w:b/>
        </w:rPr>
        <w:t xml:space="preserve">Liveness &amp; re-verification: </w:t>
      </w:r>
      <w:r>
        <w:t>Face-match/liveness at hearing join and at signing; periodic re-auth in long hearings.</w:t>
      </w:r>
    </w:p>
    <w:p>
      <w:pPr>
        <w:pStyle w:val="ListBullet"/>
      </w:pPr>
      <w:r>
        <w:rPr>
          <w:b/>
        </w:rPr>
        <w:t xml:space="preserve">Deepfake/synthetic-media detection: </w:t>
      </w:r>
      <w:r>
        <w:t>Detection on submitted audio/video and live streams; flag for neutral review.</w:t>
      </w:r>
    </w:p>
    <w:p>
      <w:pPr>
        <w:pStyle w:val="ListBullet"/>
      </w:pPr>
      <w:r>
        <w:rPr>
          <w:b/>
        </w:rPr>
        <w:t xml:space="preserve">On-platform communication rule: </w:t>
      </w:r>
      <w:r>
        <w:t>Case communications occur on-platform for fairness, privacy and fraud protection.</w:t>
      </w:r>
    </w:p>
    <w:p>
      <w:pPr>
        <w:pStyle w:val="ListBullet"/>
      </w:pPr>
      <w:r>
        <w:rPr>
          <w:b/>
        </w:rPr>
        <w:t xml:space="preserve">Document-tampering checks: </w:t>
      </w:r>
      <w:r>
        <w:t>Document-AI tamper detection on uploaded contracts and evidence.</w:t>
      </w:r>
    </w:p>
    <w:p>
      <w:pPr>
        <w:pStyle w:val="Heading1"/>
      </w:pPr>
      <w:r>
        <w:t>7. e-Sign &amp; e-Stamp Integrity</w:t>
      </w:r>
    </w:p>
    <w:p>
      <w:pPr>
        <w:pStyle w:val="ListBullet"/>
      </w:pPr>
      <w:r>
        <w:rPr>
          <w:b/>
        </w:rPr>
        <w:t xml:space="preserve">e-Sign: </w:t>
      </w:r>
      <w:r>
        <w:t>Aadhaar eSign / DSC; signatures sealed, attributed and timestamped (IT Act 2000).</w:t>
      </w:r>
    </w:p>
    <w:p>
      <w:pPr>
        <w:pStyle w:val="ListBullet"/>
      </w:pPr>
      <w:r>
        <w:rPr>
          <w:b/>
        </w:rPr>
        <w:t xml:space="preserve">e-Stamp: </w:t>
      </w:r>
      <w:r>
        <w:t>State e-stamp (SHCIL) / NeSL; per-state duty from a configurable table; certificate retained.</w:t>
      </w:r>
    </w:p>
    <w:p>
      <w:pPr>
        <w:pStyle w:val="ListBullet"/>
      </w:pPr>
      <w:r>
        <w:rPr>
          <w:b/>
        </w:rPr>
        <w:t xml:space="preserve">Digital Document Execution: </w:t>
      </w:r>
      <w:r>
        <w:t>NeSL DDE combines e-stamp + e-sign in one real-time flow for settlements/undertakings.</w:t>
      </w:r>
    </w:p>
    <w:p>
      <w:pPr>
        <w:pStyle w:val="ListBullet"/>
      </w:pPr>
      <w:r>
        <w:rPr>
          <w:b/>
        </w:rPr>
        <w:t xml:space="preserve">Qualified timestamp: </w:t>
      </w:r>
      <w:r>
        <w:t>Independent timestamps on awards, settlements and admitted evidence for a presumption of integrity/time.</w:t>
      </w:r>
    </w:p>
    <w:p>
      <w:pPr>
        <w:pStyle w:val="ListBullet"/>
      </w:pPr>
      <w:r>
        <w:rPr>
          <w:b/>
        </w:rPr>
        <w:t xml:space="preserve">Tamper-evident ledger: </w:t>
      </w:r>
      <w:r>
        <w:t>Hash-chained audit, optionally anchored to an external trust anchor, verifiable years later.</w:t>
      </w:r>
    </w:p>
    <w:p>
      <w:pPr>
        <w:pStyle w:val="Heading1"/>
      </w:pPr>
      <w:r>
        <w:t>8. AI / Model-Risk Governance</w:t>
      </w:r>
    </w:p>
    <w:tbl>
      <w:tblPr>
        <w:tblW w:type="auto" w:w="0"/>
        <w:jc w:val="center"/>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Look w:firstColumn="1" w:firstRow="1" w:lastColumn="0" w:lastRow="0" w:noHBand="0" w:noVBand="1" w:val="04A0"/>
      </w:tblPr>
      <w:tblGrid>
        <w:gridCol w:w="4680"/>
        <w:gridCol w:w="4680"/>
      </w:tblGrid>
      <w:tr>
        <w:trPr>
          <w:tblHeader w:val="true"/>
        </w:trPr>
        <w:tc>
          <w:tcPr>
            <w:tcW w:type="dxa" w:w="2736"/>
            <w:shd w:val="clear" w:color="auto" w:fill="0B2E4F"/>
            <w:tcMar>
              <w:top w:w="60" w:type="dxa"/>
              <w:left w:w="110" w:type="dxa"/>
              <w:bottom w:w="60" w:type="dxa"/>
              <w:right w:w="110" w:type="dxa"/>
            </w:tcMar>
            <w:vAlign w:val="center"/>
          </w:tcPr>
          <w:p>
            <w:pPr>
              <w:spacing w:after="20"/>
            </w:pPr>
            <w:r>
              <w:rPr>
                <w:b/>
                <w:color w:val="FFFFFF"/>
                <w:sz w:val="17"/>
              </w:rPr>
              <w:t>Control</w:t>
            </w:r>
          </w:p>
        </w:tc>
        <w:tc>
          <w:tcPr>
            <w:tcW w:type="dxa" w:w="6624"/>
            <w:shd w:val="clear" w:color="auto" w:fill="0B2E4F"/>
            <w:tcMar>
              <w:top w:w="60" w:type="dxa"/>
              <w:left w:w="110" w:type="dxa"/>
              <w:bottom w:w="60" w:type="dxa"/>
              <w:right w:w="110" w:type="dxa"/>
            </w:tcMar>
            <w:vAlign w:val="center"/>
          </w:tcPr>
          <w:p>
            <w:pPr>
              <w:spacing w:after="20"/>
            </w:pPr>
            <w:r>
              <w:rPr>
                <w:b/>
                <w:color w:val="FFFFFF"/>
                <w:sz w:val="17"/>
              </w:rPr>
              <w:t>Detail</w:t>
            </w:r>
          </w:p>
        </w:tc>
      </w:tr>
      <w:tr>
        <w:tc>
          <w:tcPr>
            <w:tcW w:type="dxa" w:w="2736"/>
            <w:tcMar>
              <w:top w:w="60" w:type="dxa"/>
              <w:left w:w="110" w:type="dxa"/>
              <w:bottom w:w="60" w:type="dxa"/>
              <w:right w:w="110" w:type="dxa"/>
            </w:tcMar>
            <w:vAlign w:val="top"/>
          </w:tcPr>
          <w:p>
            <w:pPr>
              <w:spacing w:after="20"/>
            </w:pPr>
            <w:r>
              <w:rPr>
                <w:b/>
                <w:sz w:val="17"/>
              </w:rPr>
              <w:t>Model registry</w:t>
            </w:r>
          </w:p>
        </w:tc>
        <w:tc>
          <w:tcPr>
            <w:tcW w:type="dxa" w:w="6624"/>
            <w:tcMar>
              <w:top w:w="60" w:type="dxa"/>
              <w:left w:w="110" w:type="dxa"/>
              <w:bottom w:w="60" w:type="dxa"/>
              <w:right w:w="110" w:type="dxa"/>
            </w:tcMar>
            <w:vAlign w:val="top"/>
          </w:tcPr>
          <w:p>
            <w:pPr>
              <w:spacing w:after="20"/>
            </w:pPr>
            <w:r>
              <w:rPr>
                <w:sz w:val="17"/>
              </w:rPr>
              <w:t>Every model/version, prompt template and evaluation set is registered and peer-approved</w:t>
            </w:r>
          </w:p>
        </w:tc>
      </w:tr>
      <w:tr>
        <w:tc>
          <w:tcPr>
            <w:tcW w:type="dxa" w:w="2736"/>
            <w:shd w:val="clear" w:color="auto" w:fill="EAF1F6"/>
            <w:tcMar>
              <w:top w:w="60" w:type="dxa"/>
              <w:left w:w="110" w:type="dxa"/>
              <w:bottom w:w="60" w:type="dxa"/>
              <w:right w:w="110" w:type="dxa"/>
            </w:tcMar>
            <w:vAlign w:val="top"/>
          </w:tcPr>
          <w:p>
            <w:pPr>
              <w:spacing w:after="20"/>
            </w:pPr>
            <w:r>
              <w:rPr>
                <w:b/>
                <w:sz w:val="17"/>
              </w:rPr>
              <w:t>Attribution &amp; logging</w:t>
            </w:r>
          </w:p>
        </w:tc>
        <w:tc>
          <w:tcPr>
            <w:tcW w:type="dxa" w:w="6624"/>
            <w:shd w:val="clear" w:color="auto" w:fill="EAF1F6"/>
            <w:tcMar>
              <w:top w:w="60" w:type="dxa"/>
              <w:left w:w="110" w:type="dxa"/>
              <w:bottom w:w="60" w:type="dxa"/>
              <w:right w:w="110" w:type="dxa"/>
            </w:tcMar>
            <w:vAlign w:val="top"/>
          </w:tcPr>
          <w:p>
            <w:pPr>
              <w:spacing w:after="20"/>
            </w:pPr>
            <w:r>
              <w:rPr>
                <w:sz w:val="17"/>
              </w:rPr>
              <w:t>Every AI output (Dispute Explorer, summaries, drafts) is logged with model/template reference</w:t>
            </w:r>
          </w:p>
        </w:tc>
      </w:tr>
      <w:tr>
        <w:tc>
          <w:tcPr>
            <w:tcW w:type="dxa" w:w="2736"/>
            <w:tcMar>
              <w:top w:w="60" w:type="dxa"/>
              <w:left w:w="110" w:type="dxa"/>
              <w:bottom w:w="60" w:type="dxa"/>
              <w:right w:w="110" w:type="dxa"/>
            </w:tcMar>
            <w:vAlign w:val="top"/>
          </w:tcPr>
          <w:p>
            <w:pPr>
              <w:spacing w:after="20"/>
            </w:pPr>
            <w:r>
              <w:rPr>
                <w:b/>
                <w:sz w:val="17"/>
              </w:rPr>
              <w:t>Explainability &amp; contestability</w:t>
            </w:r>
          </w:p>
        </w:tc>
        <w:tc>
          <w:tcPr>
            <w:tcW w:type="dxa" w:w="6624"/>
            <w:tcMar>
              <w:top w:w="60" w:type="dxa"/>
              <w:left w:w="110" w:type="dxa"/>
              <w:bottom w:w="60" w:type="dxa"/>
              <w:right w:w="110" w:type="dxa"/>
            </w:tcMar>
            <w:vAlign w:val="top"/>
          </w:tcPr>
          <w:p>
            <w:pPr>
              <w:spacing w:after="20"/>
            </w:pPr>
            <w:r>
              <w:rPr>
                <w:sz w:val="17"/>
              </w:rPr>
              <w:t>Plain-language rationale; parties/neutrals can challenge and request review</w:t>
            </w:r>
          </w:p>
        </w:tc>
      </w:tr>
      <w:tr>
        <w:tc>
          <w:tcPr>
            <w:tcW w:type="dxa" w:w="2736"/>
            <w:shd w:val="clear" w:color="auto" w:fill="EAF1F6"/>
            <w:tcMar>
              <w:top w:w="60" w:type="dxa"/>
              <w:left w:w="110" w:type="dxa"/>
              <w:bottom w:w="60" w:type="dxa"/>
              <w:right w:w="110" w:type="dxa"/>
            </w:tcMar>
            <w:vAlign w:val="top"/>
          </w:tcPr>
          <w:p>
            <w:pPr>
              <w:spacing w:after="20"/>
            </w:pPr>
            <w:r>
              <w:rPr>
                <w:b/>
                <w:sz w:val="17"/>
              </w:rPr>
              <w:t>Fairness testing</w:t>
            </w:r>
          </w:p>
        </w:tc>
        <w:tc>
          <w:tcPr>
            <w:tcW w:type="dxa" w:w="6624"/>
            <w:shd w:val="clear" w:color="auto" w:fill="EAF1F6"/>
            <w:tcMar>
              <w:top w:w="60" w:type="dxa"/>
              <w:left w:w="110" w:type="dxa"/>
              <w:bottom w:w="60" w:type="dxa"/>
              <w:right w:w="110" w:type="dxa"/>
            </w:tcMar>
            <w:vAlign w:val="top"/>
          </w:tcPr>
          <w:p>
            <w:pPr>
              <w:spacing w:after="20"/>
            </w:pPr>
            <w:r>
              <w:rPr>
                <w:sz w:val="17"/>
              </w:rPr>
              <w:t>Periodic bias/quality/drift testing; model cards; SDF-aligned assessment</w:t>
            </w:r>
          </w:p>
        </w:tc>
      </w:tr>
      <w:tr>
        <w:tc>
          <w:tcPr>
            <w:tcW w:type="dxa" w:w="2736"/>
            <w:tcMar>
              <w:top w:w="60" w:type="dxa"/>
              <w:left w:w="110" w:type="dxa"/>
              <w:bottom w:w="60" w:type="dxa"/>
              <w:right w:w="110" w:type="dxa"/>
            </w:tcMar>
            <w:vAlign w:val="top"/>
          </w:tcPr>
          <w:p>
            <w:pPr>
              <w:spacing w:after="20"/>
            </w:pPr>
            <w:r>
              <w:rPr>
                <w:b/>
                <w:sz w:val="17"/>
              </w:rPr>
              <w:t>Human-in-the-loop</w:t>
            </w:r>
          </w:p>
        </w:tc>
        <w:tc>
          <w:tcPr>
            <w:tcW w:type="dxa" w:w="6624"/>
            <w:tcMar>
              <w:top w:w="60" w:type="dxa"/>
              <w:left w:w="110" w:type="dxa"/>
              <w:bottom w:w="60" w:type="dxa"/>
              <w:right w:w="110" w:type="dxa"/>
            </w:tcMar>
            <w:vAlign w:val="top"/>
          </w:tcPr>
          <w:p>
            <w:pPr>
              <w:spacing w:after="20"/>
            </w:pPr>
            <w:r>
              <w:rPr>
                <w:sz w:val="17"/>
              </w:rPr>
              <w:t>AI assists, never decides; neutral/party authors and signs</w:t>
            </w:r>
          </w:p>
        </w:tc>
      </w:tr>
      <w:tr>
        <w:tc>
          <w:tcPr>
            <w:tcW w:type="dxa" w:w="2736"/>
            <w:shd w:val="clear" w:color="auto" w:fill="EAF1F6"/>
            <w:tcMar>
              <w:top w:w="60" w:type="dxa"/>
              <w:left w:w="110" w:type="dxa"/>
              <w:bottom w:w="60" w:type="dxa"/>
              <w:right w:w="110" w:type="dxa"/>
            </w:tcMar>
            <w:vAlign w:val="top"/>
          </w:tcPr>
          <w:p>
            <w:pPr>
              <w:spacing w:after="20"/>
            </w:pPr>
            <w:r>
              <w:rPr>
                <w:b/>
                <w:sz w:val="17"/>
              </w:rPr>
              <w:t>Privacy</w:t>
            </w:r>
          </w:p>
        </w:tc>
        <w:tc>
          <w:tcPr>
            <w:tcW w:type="dxa" w:w="6624"/>
            <w:shd w:val="clear" w:color="auto" w:fill="EAF1F6"/>
            <w:tcMar>
              <w:top w:w="60" w:type="dxa"/>
              <w:left w:w="110" w:type="dxa"/>
              <w:bottom w:w="60" w:type="dxa"/>
              <w:right w:w="110" w:type="dxa"/>
            </w:tcMar>
            <w:vAlign w:val="top"/>
          </w:tcPr>
          <w:p>
            <w:pPr>
              <w:spacing w:after="20"/>
            </w:pPr>
            <w:r>
              <w:rPr>
                <w:sz w:val="17"/>
              </w:rPr>
              <w:t>Data minimisation to the model; no training on party data by default</w:t>
            </w:r>
          </w:p>
        </w:tc>
      </w:tr>
    </w:tbl>
    <w:p>
      <w:pPr>
        <w:spacing w:after="40"/>
      </w:pPr>
    </w:p>
    <w:p>
      <w:pPr>
        <w:pStyle w:val="Heading1"/>
      </w:pPr>
      <w:r>
        <w:t>9. Confidentiality Tiers</w:t>
      </w:r>
    </w:p>
    <w:p>
      <w:pPr>
        <w:spacing w:after="120"/>
      </w:pPr>
      <w:r>
        <w:rPr>
          <w:b w:val="0"/>
        </w:rPr>
        <w:t>Every case carries a tier that drives encryption, access and redaction. The POSH/marital tier is the strictest: identity fields are encrypted, access is need-to-know with break-glass logging, records are excluded from general dashboards and public case-status search, and cross-party views are redacted.</w:t>
      </w:r>
    </w:p>
    <w:p>
      <w:pPr>
        <w:pStyle w:val="Heading1"/>
      </w:pPr>
      <w:r>
        <w:t>10. Incident Response &amp; Breach Drill</w:t>
      </w:r>
    </w:p>
    <w:p>
      <w:pPr>
        <w:pStyle w:val="ListNumber"/>
      </w:pPr>
      <w:r>
        <w:t>Detect — monitoring/SIEM alerts; severity triage (a missed statutory clock is a Sev-High incident).</w:t>
      </w:r>
    </w:p>
    <w:p>
      <w:pPr>
        <w:pStyle w:val="ListNumber"/>
      </w:pPr>
      <w:r>
        <w:t>Contain — isolate, revoke, preserve evidence under legal hold.</w:t>
      </w:r>
    </w:p>
    <w:p>
      <w:pPr>
        <w:pStyle w:val="ListNumber"/>
      </w:pPr>
      <w:r>
        <w:t>Notify — Data Protection Board without delay + detailed report within 72 hours; affected principals in plain language.</w:t>
      </w:r>
    </w:p>
    <w:p>
      <w:pPr>
        <w:pStyle w:val="ListNumber"/>
      </w:pPr>
      <w:r>
        <w:t>Remediate — fix, verify, and record root cause.</w:t>
      </w:r>
    </w:p>
    <w:p>
      <w:pPr>
        <w:pStyle w:val="ListNumber"/>
      </w:pPr>
      <w:r>
        <w:t>Review — post-incident review; update controls; drill quarterly.</w:t>
      </w:r>
    </w:p>
    <w:p>
      <w:pPr>
        <w:pStyle w:val="Heading1"/>
      </w:pPr>
      <w:r>
        <w:t>11. Audit &amp; Evidence</w:t>
      </w:r>
    </w:p>
    <w:p>
      <w:pPr>
        <w:spacing w:after="120"/>
      </w:pPr>
      <w:r>
        <w:rPr>
          <w:b w:val="0"/>
        </w:rPr>
        <w:t>Every material action is recorded in an append-only, hash-chained audit log with no PII in operational logs. Evidence bundles (EQR-02 §13) are exportable for enforcement and for regulator/auditor review under scoped, immutable read-only access. Living registers — controls, rate cards, forms/schema — sit in version control with named owners (EQR-00 §7).</w:t>
      </w:r>
    </w:p>
    <w:p>
      <w:pPr>
        <w:spacing w:after="120"/>
      </w:pPr>
      <w:r>
        <w:rPr>
          <w:b w:val="0"/>
          <w:color w:val="5A6B7B"/>
          <w:sz w:val="18"/>
        </w:rPr>
        <w:t>End of EQR-14 v2.0.</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C9D3DC"/>
      </w:pBdr>
      <w:tabs>
        <w:tab w:pos="9360" w:val="right"/>
      </w:tabs>
    </w:pPr>
    <w:r/>
    <w:r>
      <w:rPr>
        <w:color w:val="5A6B7B"/>
        <w:sz w:val="16"/>
      </w:rPr>
      <w:t xml:space="preserve">Confidential — © 2026 Equator Resolution (Infrabyx Consultancy (OPC) Pvt. Ltd.)   </w:t>
    </w:r>
    <w:r>
      <w:rPr>
        <w:color w:val="5A6B7B"/>
        <w:sz w:val="16"/>
      </w:rPr>
      <w:tab/>
      <w:t xml:space="preserve">Page </w:t>
    </w:r>
    <w:r>
      <w:rPr>
        <w:color w:val="5A6B7B"/>
        <w:sz w:val="16"/>
      </w:rPr>
      <w:fldChar w:fldCharType="begin"/>
      <w:instrText xml:space="preserve">PAGE</w:instrText>
      <w:fldChar w:fldCharType="end"/>
    </w:r>
    <w:r>
      <w:rPr>
        <w:color w:val="5A6B7B"/>
        <w:sz w:val="16"/>
      </w:rPr>
      <w:t xml:space="preserve"> of </w:t>
    </w:r>
    <w:r>
      <w:rPr>
        <w:color w:val="5A6B7B"/>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6" w:color="C9D3DC"/>
      </w:pBdr>
      <w:jc w:val="left"/>
    </w:pPr>
    <w:r/>
    <w:r>
      <w:rPr>
        <w:rFonts w:ascii="Arial" w:hAnsi="Arial"/>
        <w:color w:val="5A6B7B"/>
        <w:sz w:val="16"/>
      </w:rPr>
      <w:t>EQUATOR RESOLUTION  ·  EQR-14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B2E4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7A8C"/>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rial" w:hAnsi="Arial"/>
      <w:b/>
      <w:bCs/>
      <w:i/>
      <w:iCs/>
      <w:color w:val="5A6B7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0B2E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