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Architecture Improvement &amp; Roadmap</w:t>
      </w:r>
    </w:p>
    <w:p>
      <w:pPr>
        <w:spacing w:after="280"/>
      </w:pPr>
      <w:r>
        <w:rPr>
          <w:i/>
          <w:color w:val="5A6B7B"/>
          <w:sz w:val="25"/>
        </w:rPr>
        <w:t>Fifteen research-backed enhancements to the Equator Resolution architecture — each with the gap, the recommendation, where it lands in the document set, and a priority — plus a prioritised implementation plan.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EQR-15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Architecture Improvement &amp; Roadmap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Advisory — for review &amp; prioritisation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 / Chief Architect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Basis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Advisory review of the EQR-00…EQR-14 set + July-2026 market/regulatory research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(architecture) · EQR-04 (legal) · EQR-07 (AI) · EQR-14 (security)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Read This</w:t>
      </w:r>
    </w:p>
    <w:p>
      <w:pPr>
        <w:spacing w:after="120"/>
      </w:pPr>
      <w:r>
        <w:rPr>
          <w:b w:val="0"/>
        </w:rPr>
        <w:t>This advisory captures fifteen concrete improvements to the Equator Resolution architecture, grouped by priority. Each recommendation states the gap, the recommendation, where it lands in the document set, and a priority: P1 (do first — compliance-critical or de-risking), P2 (strong differentiator), P3 (forward-looking). The improvements extend — they do not replace — the architecture in EQR-01…EQR-14; each names the document(s) and service(s) it touches so it can be actioned directly.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Design continuity.  </w:t>
            </w:r>
            <w:r>
              <w:rPr>
                <w:color w:val="1A1A1A"/>
                <w:sz w:val="19"/>
              </w:rPr>
              <w:t>Every improvement respects the four core commitments (API-first, configuration-over-code, confidentiality tiers, human-in-the-loop AI). Nothing here requires a re-architecture; each is an additive capability or a hardening of an existing one.</w:t>
            </w:r>
          </w:p>
        </w:tc>
      </w:tr>
    </w:tbl>
    <w:p>
      <w:pPr>
        <w:spacing w:after="40"/>
      </w:pPr>
    </w:p>
    <w:p>
      <w:pPr>
        <w:pStyle w:val="Heading1"/>
      </w:pPr>
      <w:r>
        <w:t>2. Executive Summary — the fifteen improvements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No-code Ruleset Studio (visual pathway/clock/fee/template authoring)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DigiLocker + Account Aggregator consent-pull for KYC &amp; financial evidence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DPDP readiness now (DPIA, DPO, Consent-Manager interface, 72-hr breach game-day)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Phase-1 ‘walking skeleton' — one pillar end-to-end before breadth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Event-sourcing + CQRS made explicit (event store + read models)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Verifiable tamper-evidence (qualified timestamps + anchored hash-chain + verify page)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Grounded Dispute Explorer (RAG over rulesets + curated case law)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Compliance Cockpit (legal clocks as first-class SLOs with pre-breach alerts)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BYOK / per-tenant keys + per-jurisdiction data-residency zones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Open dispute-exchange schema (portable case/event standard; court interop)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WhatsApp Business as a first-class channel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Agentic Case-Manager assistant (human-approved)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Lok-Adalat-as-a-service / government channel (deliberate decision)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Transparency report + ACI/IMI accreditation + ISO 27001 / SOC 2 path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Settlement financing / instalment rails for borrower money-pillars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</w:tbl>
    <w:p>
      <w:pPr>
        <w:spacing w:after="40"/>
      </w:pPr>
    </w:p>
    <w:p>
      <w:pPr>
        <w:pStyle w:val="Heading1"/>
      </w:pPr>
      <w:r>
        <w:t>3. P1 — Do First</w:t>
      </w:r>
    </w:p>
    <w:p>
      <w:pPr>
        <w:pStyle w:val="Heading2"/>
      </w:pPr>
      <w:r>
        <w:t>3.1. No-code Ruleset Studio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The platform treats timelines, panels, fees, templates and pathways as configuration, but there is no first-class tool to author that configuration; today it implies engineering involvement for each new track or jurisdiction.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Build an admin ‘Ruleset Studio': a visual pathway builder (states, rungs, escalation), a clock designer (statutory/config timers), a fee-schedule editor, and a template/notice editor — all versioned and peer-approved through the Change Advisory Board. This converts ‘configurable in principle' into a genuine multi-segment / multi-jurisdiction moat and lets legal-ops, not engineering, launch a new track.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§6 (rules-svc), EQR-02 §3.2, EQR-05 (Private Court setup); new admin studio in Admin &amp; Configuration module.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 — moat &amp; scalability</w:t>
            </w:r>
          </w:p>
        </w:tc>
      </w:tr>
    </w:tbl>
    <w:p>
      <w:pPr>
        <w:spacing w:after="40"/>
      </w:pPr>
    </w:p>
    <w:p>
      <w:pPr>
        <w:pStyle w:val="Heading2"/>
      </w:pPr>
      <w:r>
        <w:t>3.2. DigiLocker + Account Aggregator consent-pull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Evidence and KYC rely on manual uploads; financial evidence in NBFC/commercial matters is unstructured and disputable.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Integrate DigiLocker (identity/education/PAN documents) and the RBI Account Aggregator framework (bank statements, GST, financials) to pull verified data with the party's consent, instead of uploads. This strengthens evidence quality, gives a cleaner DPDP consent trail, and naturally connects to the Sahamati AA channel (a warm inter-member dispute source).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EQR-06 (consumed APIs), EQR-02 §9 (evidence), EQR-14 (consent); party-svc &amp; evidence-svc.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 — evidence &amp; compliance</w:t>
            </w:r>
          </w:p>
        </w:tc>
      </w:tr>
    </w:tbl>
    <w:p>
      <w:pPr>
        <w:spacing w:after="40"/>
      </w:pPr>
    </w:p>
    <w:p>
      <w:pPr>
        <w:pStyle w:val="Heading2"/>
      </w:pPr>
      <w:r>
        <w:t>3.3. DPDP readiness now — not at the deadline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DPDP Rules 2025 obligations phase in through mid-2027, but consent-manager integration and breach response take lead time; treating them as future work is a risk.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Run the DPIA and appoint the DPO immediately; build the Consent-Manager-ready interface ahead of the 13 Nov 2026 go-live; and rehearse the 72-hour breach-notification flow as a real game-day with the Data Protection Board timeline. Make breach drills a standing quarterly exercise.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EQR-14 §2, §10; compliance calendar in EQR-04 §15.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 — compliance-critical</w:t>
            </w:r>
          </w:p>
        </w:tc>
      </w:tr>
    </w:tbl>
    <w:p>
      <w:pPr>
        <w:spacing w:after="40"/>
      </w:pPr>
    </w:p>
    <w:p>
      <w:pPr>
        <w:pStyle w:val="Heading2"/>
      </w:pPr>
      <w:r>
        <w:t>3.4. Phase-1 ‘walking skeleton'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Breadth across seven pillars risks focus dilution and a slow, high-risk first release.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Build one pillar (NBFC or commercial) end-to-end first — file → allocate → hear → settle/award → e-sign/e-stamp → execute → track — as a thin but complete slice. It proves the engine, exercises every integration once, and earns the ‘first award upheld in court' trust milestone before you scale.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§16 (roadmap), EQR-02 (engine), EQR-13 §8 (sequencing).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P1 — delivery de-risking</w:t>
            </w:r>
          </w:p>
        </w:tc>
      </w:tr>
    </w:tbl>
    <w:p>
      <w:pPr>
        <w:spacing w:after="40"/>
      </w:pPr>
    </w:p>
    <w:p>
      <w:pPr>
        <w:pStyle w:val="Heading1"/>
      </w:pPr>
      <w:r>
        <w:t>4. P2 — Strong Differentiators</w:t>
      </w:r>
    </w:p>
    <w:p>
      <w:pPr>
        <w:pStyle w:val="Heading2"/>
      </w:pPr>
      <w:r>
        <w:t>4.1. Event-sourcing + CQRS, made explicit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The core is described as event-driven, but the event store and read models are implicit; the case-status explorer and regulator reports need durable, replayable history.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Formalise an append-only event store for the case aggregate and derive read models (case-status timeline, portfolio dashboards, regulator exports) via CQRS. This makes audit, replay, analytics and the eCourts-style status view first-class, and simplifies the immutable-audit requirement.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§6–7, EQR-09 §7 (case-status), EQR-14 §11 (audit).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4.2. Verifiable tamper-evidence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Awards/settlements are hashed and signed, but a challenger can still question digital integrity; ‘blockchain' claims without verifiability are weak.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Commit to a concrete integrity stack: qualified independent timestamps on awards, settlements and admitted evidence; a hash-chained audit anchored to NeSL or an external trust anchor; and a public ‘Verify this document' page where anyone can check a hash and timestamp. Verifiability — not the word ‘blockchain' — is the trust wedge and eases enforcement.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EQR-02 §9, §12–13; EQR-14 §7 (trust services).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 — enforceability</w:t>
            </w:r>
          </w:p>
        </w:tc>
      </w:tr>
    </w:tbl>
    <w:p>
      <w:pPr>
        <w:spacing w:after="40"/>
      </w:pPr>
    </w:p>
    <w:p>
      <w:pPr>
        <w:pStyle w:val="Heading2"/>
      </w:pPr>
      <w:r>
        <w:t>4.3. Grounded Dispute Explorer (RAG)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The Dispute Explorer relies on the model's general knowledge, risking hallucinated legal or procedural hints.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Ground it with retrieval-augmented generation over a governed knowledge base of your own rulesets and curated, citable case law, so every viability read carries a source. Over time, an outcome/settlement-range model trained on de-identified historical outcomes can power realistic cost/time bands — under the model-risk governance in EQR-14.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EQR-07 §4, §6; EQR-14 §8 (model risk).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 — trust &amp; accuracy</w:t>
            </w:r>
          </w:p>
        </w:tc>
      </w:tr>
    </w:tbl>
    <w:p>
      <w:pPr>
        <w:spacing w:after="40"/>
      </w:pPr>
    </w:p>
    <w:p>
      <w:pPr>
        <w:pStyle w:val="Heading2"/>
      </w:pPr>
      <w:r>
        <w:t>4.4. Compliance Cockpit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Legal clocks are tracked per case but not surfaced as an operational, portfolio-level early-warning system.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Elevate the statutory clocks (S.29A award, 120-day mediation, 90-day POSH, 21-day SEBI pre-conciliation, 30-day RBI grievance) into a single Compliance Cockpit with pre-breach amber/red alerting and SLO-style error budgets — a missed statutory deadline treated with the same severity as an outage.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§15, EQR-02 §14 (clocks), EQR-05 (neutral view), EQR-09 §6 (admin dashboards).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4.5. BYOK &amp; data-residency zones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Large regulated enterprises and international expansion demand stronger key control and residency guarantees than a single shared-key India deployment.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Offer bring-your-own-key (per-tenant encryption keys) for enterprise/regulated tenants, and define per-jurisdiction data-residency zones so each region's data stays in-region as you expand internationally.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§7, §11; EQR-14 §2–3 (classification/residency).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4.6. Open dispute-exchange schema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Cases are locked to the platform; there is no portable interchange for courts or other ODR platforms, and consolidation is a strategic threat.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Publish a portable case/event schema aligned to emerging ODR data-exchange standards and to eCourts/e-Daakhil formats, with stable, interoperable case identifiers. This future-proofs against consolidation, eases judicial recognition, and positions Equator as infrastructure others build on.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EQR-06 §6–7 (APIs/interop), EQR-01 §18 (interoperability adapters).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P2 — moat &amp; interop</w:t>
            </w:r>
          </w:p>
        </w:tc>
      </w:tr>
    </w:tbl>
    <w:p>
      <w:pPr>
        <w:spacing w:after="40"/>
      </w:pPr>
    </w:p>
    <w:p>
      <w:pPr>
        <w:pStyle w:val="Heading1"/>
      </w:pPr>
      <w:r>
        <w:t>5. P3 — Forward Bets</w:t>
      </w:r>
    </w:p>
    <w:p>
      <w:pPr>
        <w:pStyle w:val="Heading2"/>
      </w:pPr>
      <w:r>
        <w:t>5.1. WhatsApp Business as a first-class channel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Lending and consumer volume includes non-digital-native users; web-first flows under-reach them.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Make WhatsApp Business a first-class channel for intake, status, hearing reminders and low-bandwidth actions, alongside SMS/IVR — the same pattern incumbents (CADRE, Sama) use for reach.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§6.3, EQR-06 (channels), EQR-11 (mobile parity).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</w:tbl>
    <w:p>
      <w:pPr>
        <w:spacing w:after="40"/>
      </w:pPr>
    </w:p>
    <w:p>
      <w:pPr>
        <w:pStyle w:val="Heading2"/>
      </w:pPr>
      <w:r>
        <w:t>5.2. Agentic Case-Manager assistant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High-volume pillars carry a heavy manual case-management load (notices, scheduling, deficiency checks).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Add an agentic, human-approved case-manager assistant that drafts notices, proposes schedules, and flags deficiencies — cutting cost-to-serve while keeping a person in the loop and every action attributed and auditable.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EQR-07 (AI patterns), EQR-01 §10, EQR-14 §8.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</w:tbl>
    <w:p>
      <w:pPr>
        <w:spacing w:after="40"/>
      </w:pPr>
    </w:p>
    <w:p>
      <w:pPr>
        <w:pStyle w:val="Heading2"/>
      </w:pPr>
      <w:r>
        <w:t>5.3. Lok-Adalat-as-a-service / government channel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 large mandated-volume channel (Digital Lok Adalats) exists and a competitor (Jupitice) already occupies it; the current architecture does not deliberately address it.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Take a deliberate build/no-build decision. If pursued, add Lok-Adalat event orchestration and bulk-settlement handling with NALSA/SLSA alignment — a large channel, but a real commitment.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EQR-01 §18 (optional Lok Adalat), EQR-03, EQR-13 §3.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 — strategic decision</w:t>
            </w:r>
          </w:p>
        </w:tc>
      </w:tr>
    </w:tbl>
    <w:p>
      <w:pPr>
        <w:spacing w:after="40"/>
      </w:pPr>
    </w:p>
    <w:p>
      <w:pPr>
        <w:pStyle w:val="Heading2"/>
      </w:pPr>
      <w:r>
        <w:t>5.4. Transparency, accreditation &amp; certification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Trust signals that regulated buyers look for (published outcomes, accredited neutrals, security certifications) are not yet in place.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Publish a periodic anonymised transparency report (volumes, resolution time, settlement rate, fairness metrics); align neutrals and the Institute to ACI / IMI accreditation and grading; and sequence ISO 27001 and SOC 2 Type II certification as procurement signals.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EQR-05 (accreditation), EQR-14 §5 (certification), EQR-13 §7 (positioning).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</w:tbl>
    <w:p>
      <w:pPr>
        <w:spacing w:after="40"/>
      </w:pPr>
    </w:p>
    <w:p>
      <w:pPr>
        <w:pStyle w:val="Heading2"/>
      </w:pPr>
      <w:r>
        <w:t>5.5. Settlement financing / instalment rails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Borrower money-pillar settlements can fail because the borrower cannot pay a lump sum, reducing completion.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Offer instalment/settlement-financing rails (within RBI lending norms, via regulated partners) linked to the escrow schedule, to raise settlement-completion rates on NBFC/consumer matters. Design carefully for consumer-protection and disclosure.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Where it lands</w:t>
            </w:r>
          </w:p>
        </w:tc>
        <w:tc>
          <w:tcPr>
            <w:tcW w:type="dxa" w:w="748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EQR-08 §6 (escrow), EQR-03 §3 (NBFC), EQR-14 (compliance).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P3 — regulated, partner-led</w:t>
            </w:r>
          </w:p>
        </w:tc>
      </w:tr>
    </w:tbl>
    <w:p>
      <w:pPr>
        <w:spacing w:after="40"/>
      </w:pPr>
    </w:p>
    <w:p>
      <w:pPr>
        <w:pStyle w:val="Heading1"/>
      </w:pPr>
      <w:r>
        <w:t>6. Prioritised Implementation Waves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3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Wave 1 (now)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Compliance &amp; de-risk</w:t>
            </w:r>
          </w:p>
        </w:tc>
        <w:tc>
          <w:tcPr>
            <w:tcW w:type="dxa" w:w="53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#3 DPDP readiness, #4 walking skeleton, #1 Ruleset Studio (v1), #2 DigiLocker/AA (KYC first)</w:t>
            </w:r>
          </w:p>
        </w:tc>
      </w:tr>
      <w:tr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Wave 2 (differentiate)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Trust &amp; scale</w:t>
            </w:r>
          </w:p>
        </w:tc>
        <w:tc>
          <w:tcPr>
            <w:tcW w:type="dxa" w:w="53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#6 verifiable integrity, #8 Compliance Cockpit, #7 grounded Explorer, #5 event-store/CQRS, #10 open schema</w:t>
            </w:r>
          </w:p>
        </w:tc>
      </w:tr>
      <w:tr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Wave 3 (lead)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Reach &amp; category</w:t>
            </w:r>
          </w:p>
        </w:tc>
        <w:tc>
          <w:tcPr>
            <w:tcW w:type="dxa" w:w="53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#9 BYOK/residency, #11 WhatsApp, #12 agentic case-manager, #14 transparency/accreditation, #13 Lok Adalat, #15 settlement financing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Sequencing principle.  </w:t>
            </w:r>
            <w:r>
              <w:rPr>
                <w:color w:val="1A1A1A"/>
                <w:sz w:val="19"/>
              </w:rPr>
              <w:t>Win one lane decisively (Wave 1), make the outcome verifiably enforceable and the operation observably compliant (Wave 2), then extend reach and category leadership (Wave 3). Re-verify every regulatory date and processor term at the start of each wave.</w:t>
            </w:r>
          </w:p>
        </w:tc>
      </w:tr>
    </w:tbl>
    <w:p>
      <w:pPr>
        <w:spacing w:after="40"/>
      </w:pPr>
    </w:p>
    <w:p>
      <w:pPr>
        <w:pStyle w:val="Heading1"/>
      </w:pPr>
      <w:r>
        <w:t>7. Impact vs. Effort (at a glance)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#1 Ruleset Studio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#2 DigiLocker/AA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#3 DPDP readiness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 (compliance)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#4 Walking skeleton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#6 Verifiable integrity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#7 Grounded Explorer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Medium-High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#8 Compliance Cockpit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Medium-High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Low-Medium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#10 Open schema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 (strategic)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#11 WhatsApp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#12 Agentic case-manager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EQR-15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EQR-15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