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E · WEB, MOBILE &amp; CONTENT</w:t>
      </w:r>
    </w:p>
    <w:p>
      <w:pPr>
        <w:pStyle w:val="Title"/>
        <w:pBdr>
          <w:bottom w:val="single" w:sz="20" w:space="6" w:color="B98A2E"/>
        </w:pBdr>
      </w:pPr>
      <w:r>
        <w:t>Design System &amp; UI Kit</w:t>
      </w:r>
    </w:p>
    <w:p>
      <w:pPr>
        <w:spacing w:after="280"/>
      </w:pPr>
      <w:r>
        <w:rPr>
          <w:i/>
          <w:color w:val="5A6B7B"/>
          <w:sz w:val="25"/>
        </w:rPr>
        <w:t>The single source of visual truth for the Equator Resolution web and mobile products — design tokens, components, states and accessibility criteria a designer and a front-end developer build from directly.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EQR-19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Design System &amp; UI Kit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9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Issued for build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Head of Design / Front-end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Artifacts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EQR-19_Design_Tokens.json · EQR-19_Wireframes.html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Companions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EQR-25 (front-end) · EQR-20 (form engine) · EQR-09/10 (IA &amp; copy)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Principles</w:t>
      </w:r>
    </w:p>
    <w:p>
      <w:pPr>
        <w:pStyle w:val="ListNumber"/>
      </w:pPr>
      <w:r>
        <w:t>Calm and credible — the product handles stressful, high-stakes moments; the UI is quiet, legible and reassuring.</w:t>
      </w:r>
    </w:p>
    <w:p>
      <w:pPr>
        <w:pStyle w:val="ListNumber"/>
      </w:pPr>
      <w:r>
        <w:t>Clarity over decoration — one primary action per screen; generous whitespace; plain language.</w:t>
      </w:r>
    </w:p>
    <w:p>
      <w:pPr>
        <w:pStyle w:val="ListNumber"/>
      </w:pPr>
      <w:r>
        <w:t>Accessible by default — WCAG 2.2 AA is a floor, not a goal; keyboard, screen-reader and low-bandwidth first.</w:t>
      </w:r>
    </w:p>
    <w:p>
      <w:pPr>
        <w:pStyle w:val="ListNumber"/>
      </w:pPr>
      <w:r>
        <w:t>Consistent — every screen is assembled from the same tokens and components; no bespoke one-offs.</w:t>
      </w:r>
    </w:p>
    <w:p>
      <w:pPr>
        <w:pStyle w:val="ListNumber"/>
      </w:pPr>
      <w:r>
        <w:t>Trust cues — status, security and provenance (hashes, timestamps, e-stamp) are always visible where relevant.</w:t>
      </w:r>
    </w:p>
    <w:p>
      <w:pPr>
        <w:pStyle w:val="Heading1"/>
      </w:pPr>
      <w:r>
        <w:t>2. Design Tokens</w:t>
      </w:r>
    </w:p>
    <w:p>
      <w:pPr>
        <w:spacing w:after="120"/>
      </w:pPr>
      <w:r>
        <w:rPr>
          <w:b w:val="0"/>
        </w:rPr>
        <w:t>Tokens are the atomic, named values every component and screen references. They are delivered as EQR-19_Design_Tokens.json for direct import into the front-end (CSS variables / Tailwind theme / Figma variables).</w:t>
      </w:r>
    </w:p>
    <w:p>
      <w:pPr>
        <w:pStyle w:val="Heading2"/>
      </w:pPr>
      <w:r>
        <w:t>2.1 Colour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2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216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Value (hex)</w:t>
            </w:r>
          </w:p>
        </w:tc>
        <w:tc>
          <w:tcPr>
            <w:tcW w:type="dxa" w:w="417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color.brand.navy</w:t>
            </w:r>
          </w:p>
        </w:tc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#0B2E4F</w:t>
            </w:r>
          </w:p>
        </w:tc>
        <w:tc>
          <w:tcPr>
            <w:tcW w:type="dxa" w:w="41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Primary brand, headers, primary buttons</w:t>
            </w:r>
          </w:p>
        </w:tc>
      </w:tr>
      <w:tr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color.brand.teal</w:t>
            </w:r>
          </w:p>
        </w:tc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#1F7A8C</w:t>
            </w:r>
          </w:p>
        </w:tc>
        <w:tc>
          <w:tcPr>
            <w:tcW w:type="dxa" w:w="41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Secondary, links, accents, focus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color.brand.gold</w:t>
            </w:r>
          </w:p>
        </w:tc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#B98A2E</w:t>
            </w:r>
          </w:p>
        </w:tc>
        <w:tc>
          <w:tcPr>
            <w:tcW w:type="dxa" w:w="41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Highlight rule, milestones</w:t>
            </w:r>
          </w:p>
        </w:tc>
      </w:tr>
      <w:tr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color.ink</w:t>
            </w:r>
          </w:p>
        </w:tc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#1A1A1A</w:t>
            </w:r>
          </w:p>
        </w:tc>
        <w:tc>
          <w:tcPr>
            <w:tcW w:type="dxa" w:w="41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Body text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color.muted</w:t>
            </w:r>
          </w:p>
        </w:tc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#5A6B7B</w:t>
            </w:r>
          </w:p>
        </w:tc>
        <w:tc>
          <w:tcPr>
            <w:tcW w:type="dxa" w:w="41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Secondary text, captions</w:t>
            </w:r>
          </w:p>
        </w:tc>
      </w:tr>
      <w:tr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color.border</w:t>
            </w:r>
          </w:p>
        </w:tc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#C9D3DC</w:t>
            </w:r>
          </w:p>
        </w:tc>
        <w:tc>
          <w:tcPr>
            <w:tcW w:type="dxa" w:w="41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Dividers, input borders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color.surface</w:t>
            </w:r>
          </w:p>
        </w:tc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#FFFFFF</w:t>
            </w:r>
          </w:p>
        </w:tc>
        <w:tc>
          <w:tcPr>
            <w:tcW w:type="dxa" w:w="41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Cards, page background</w:t>
            </w:r>
          </w:p>
        </w:tc>
      </w:tr>
      <w:tr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color.surface.alt</w:t>
            </w:r>
          </w:p>
        </w:tc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#EAF1F6</w:t>
            </w:r>
          </w:p>
        </w:tc>
        <w:tc>
          <w:tcPr>
            <w:tcW w:type="dxa" w:w="41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Zebra rows, callouts, chips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color.success</w:t>
            </w:r>
          </w:p>
        </w:tc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#2E7D5B</w:t>
            </w:r>
          </w:p>
        </w:tc>
        <w:tc>
          <w:tcPr>
            <w:tcW w:type="dxa" w:w="41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Success, ‘closed', positive</w:t>
            </w:r>
          </w:p>
        </w:tc>
      </w:tr>
      <w:tr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color.warning</w:t>
            </w:r>
          </w:p>
        </w:tc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#B9822E</w:t>
            </w:r>
          </w:p>
        </w:tc>
        <w:tc>
          <w:tcPr>
            <w:tcW w:type="dxa" w:w="41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Amber clock, caution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color.danger</w:t>
            </w:r>
          </w:p>
        </w:tc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#8A2E4F</w:t>
            </w:r>
          </w:p>
        </w:tc>
        <w:tc>
          <w:tcPr>
            <w:tcW w:type="dxa" w:w="41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Error, red clock, destructive</w:t>
            </w:r>
          </w:p>
        </w:tc>
      </w:tr>
    </w:tbl>
    <w:p>
      <w:pPr>
        <w:spacing w:after="40"/>
      </w:pPr>
    </w:p>
    <w:p>
      <w:pPr>
        <w:pStyle w:val="Heading2"/>
      </w:pPr>
      <w:r>
        <w:t>2.2 Typography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331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60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font.family.base</w:t>
            </w:r>
          </w:p>
        </w:tc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Arial / system sans (Inter fallback)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All UI text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font.family.mono</w:t>
            </w:r>
          </w:p>
        </w:tc>
        <w:tc>
          <w:tcPr>
            <w:tcW w:type="dxa" w:w="33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Consolas / Menlo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Case IDs, hashes, code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text.display</w:t>
            </w:r>
          </w:p>
        </w:tc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30–34px / 700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Page hero titles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text.h1</w:t>
            </w:r>
          </w:p>
        </w:tc>
        <w:tc>
          <w:tcPr>
            <w:tcW w:type="dxa" w:w="33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24px / 700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Section titles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text.h2</w:t>
            </w:r>
          </w:p>
        </w:tc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18–20px / 700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Sub-sections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text.h3</w:t>
            </w:r>
          </w:p>
        </w:tc>
        <w:tc>
          <w:tcPr>
            <w:tcW w:type="dxa" w:w="33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15–16px / 700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Card titles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text.body</w:t>
            </w:r>
          </w:p>
        </w:tc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14–15px / 400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Body copy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text.small</w:t>
            </w:r>
          </w:p>
        </w:tc>
        <w:tc>
          <w:tcPr>
            <w:tcW w:type="dxa" w:w="33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12–13px / 400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Captions, helper, legal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line-height</w:t>
            </w:r>
          </w:p>
        </w:tc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1.4–1.5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Readability</w:t>
            </w:r>
          </w:p>
        </w:tc>
      </w:tr>
    </w:tbl>
    <w:p>
      <w:pPr>
        <w:spacing w:after="40"/>
      </w:pPr>
    </w:p>
    <w:p>
      <w:pPr>
        <w:pStyle w:val="Heading2"/>
      </w:pPr>
      <w:r>
        <w:t>2.3 Spacing, radius, elevation, breakpoints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Token group</w:t>
            </w:r>
          </w:p>
        </w:tc>
        <w:tc>
          <w:tcPr>
            <w:tcW w:type="dxa" w:w="691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Values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spacing (4-pt grid)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4, 8, 12, 16, 24, 32, 48, 64 px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radius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sm 4 · md 8 · lg 12 · pill 999 px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elevation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0 none · 1 card 0 1px 3px rgba(11,46,79,.08) · 2 modal 0 8px 24px rgba(11,46,79,.16)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breakpoints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xs &lt;480 · sm 480 · md 768 · lg 1024 · xl 1280 px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container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max 1024–1200 px, 24 px gutters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z-index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base 0 · dropdown 100 · sticky 200 · modal 1000 · toast 1100</w:t>
            </w:r>
          </w:p>
        </w:tc>
      </w:tr>
    </w:tbl>
    <w:p>
      <w:pPr>
        <w:spacing w:after="40"/>
      </w:pPr>
    </w:p>
    <w:p>
      <w:pPr>
        <w:pStyle w:val="Heading1"/>
      </w:pPr>
      <w:r>
        <w:t>3. Grid &amp; Layout</w:t>
      </w:r>
    </w:p>
    <w:p>
      <w:pPr>
        <w:pStyle w:val="ListBullet"/>
      </w:pPr>
      <w:r>
        <w:t>12-column responsive grid; 24 px gutter; content max-width 1024–1200 px.</w:t>
      </w:r>
    </w:p>
    <w:p>
      <w:pPr>
        <w:pStyle w:val="ListBullet"/>
      </w:pPr>
      <w:r>
        <w:t>App shell: left nav (persona dashboard) + top bar (search, notifications, profile) + content.</w:t>
      </w:r>
    </w:p>
    <w:p>
      <w:pPr>
        <w:pStyle w:val="ListBullet"/>
      </w:pPr>
      <w:r>
        <w:t>Marketing pages: single-column, wide hero, section bands; sticky primary CTA on segment pages.</w:t>
      </w:r>
    </w:p>
    <w:p>
      <w:pPr>
        <w:pStyle w:val="ListBullet"/>
      </w:pPr>
      <w:r>
        <w:t>Mobile: single column, bottom tab bar for app; collapsible nav for marketing.</w:t>
      </w:r>
    </w:p>
    <w:p>
      <w:pPr>
        <w:pStyle w:val="Heading1"/>
      </w:pPr>
      <w:r>
        <w:t>4. Component Inventory</w:t>
      </w:r>
    </w:p>
    <w:p>
      <w:pPr>
        <w:spacing w:after="120"/>
      </w:pPr>
      <w:r>
        <w:rPr>
          <w:b w:val="0"/>
        </w:rPr>
        <w:t>Every component ships with the states in §5 and the a11y criteria in §6. Build in Storybook; one component = one story set.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Group</w:t>
            </w:r>
          </w:p>
        </w:tc>
        <w:tc>
          <w:tcPr>
            <w:tcW w:type="dxa" w:w="734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Components</w:t>
            </w:r>
          </w:p>
        </w:tc>
      </w:tr>
      <w:tr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Actions</w:t>
            </w:r>
          </w:p>
        </w:tc>
        <w:tc>
          <w:tcPr>
            <w:tcW w:type="dxa" w:w="73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Button (primary/secondary/ghost/danger), IconButton, Link, Menu</w:t>
            </w:r>
          </w:p>
        </w:tc>
      </w:tr>
      <w:tr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Inputs</w:t>
            </w:r>
          </w:p>
        </w:tc>
        <w:tc>
          <w:tcPr>
            <w:tcW w:type="dxa" w:w="734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TextField, TextArea, Select, MultiSelect, Combobox, Checkbox, Radio, Switch, DatePicker, TimePicker, FileUpload, MoneyInput, PhoneInput, OTPInput, ConsentCheckbox</w:t>
            </w:r>
          </w:p>
        </w:tc>
      </w:tr>
      <w:tr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Data display</w:t>
            </w:r>
          </w:p>
        </w:tc>
        <w:tc>
          <w:tcPr>
            <w:tcW w:type="dxa" w:w="73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Table (sortable, sticky header, zebra), DataList, Card, StatCard, Badge/Chip, Tag, Avatar, Timeline, KeyValue</w:t>
            </w:r>
          </w:p>
        </w:tc>
      </w:tr>
      <w:tr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Feedback</w:t>
            </w:r>
          </w:p>
        </w:tc>
        <w:tc>
          <w:tcPr>
            <w:tcW w:type="dxa" w:w="734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Toast, InlineAlert, Banner, EmptyState, Skeleton/Loader, ProgressBar, ClockPill (green/amber/red)</w:t>
            </w:r>
          </w:p>
        </w:tc>
      </w:tr>
      <w:tr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Navigation</w:t>
            </w:r>
          </w:p>
        </w:tc>
        <w:tc>
          <w:tcPr>
            <w:tcW w:type="dxa" w:w="73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TopBar, SideNav, Tabs, Breadcrumbs, Pagination, Stepper (filing wizard)</w:t>
            </w:r>
          </w:p>
        </w:tc>
      </w:tr>
      <w:tr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Overlays</w:t>
            </w:r>
          </w:p>
        </w:tc>
        <w:tc>
          <w:tcPr>
            <w:tcW w:type="dxa" w:w="734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Modal, Drawer, Popover, Tooltip, ConfirmDialog</w:t>
            </w:r>
          </w:p>
        </w:tc>
      </w:tr>
      <w:tr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Domain</w:t>
            </w:r>
          </w:p>
        </w:tc>
        <w:tc>
          <w:tcPr>
            <w:tcW w:type="dxa" w:w="73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CaseStatusTimeline, HearingCard, EvidenceItem, ESignPanel, EStampBadge, PaymentSummary, DisputeExplorerChat, NeutralCard</w:t>
            </w:r>
          </w:p>
        </w:tc>
      </w:tr>
    </w:tbl>
    <w:p>
      <w:pPr>
        <w:spacing w:after="40"/>
      </w:pPr>
    </w:p>
    <w:p>
      <w:pPr>
        <w:pStyle w:val="Heading1"/>
      </w:pPr>
      <w:r>
        <w:t>5. Component States</w:t>
      </w:r>
    </w:p>
    <w:p>
      <w:pPr>
        <w:spacing w:after="120"/>
      </w:pPr>
      <w:r>
        <w:rPr>
          <w:b w:val="0"/>
        </w:rPr>
        <w:t>Interactive components implement all applicable states; each is a distinct visual token, never colour alone.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705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Base token styling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Hover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Subtle elevation/tint (pointer devices only)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Focus-visible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2 px teal outline + offset — never removed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Active/Pressed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Depressed tint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Disabled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Reduced opacity + not focusable + aria-disabled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Loading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Spinner/skeleton; action locked; announced to SR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Error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Danger border + message linked via aria-describedby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Selected/Checked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Clear non-colour indicator (check/fill)</w:t>
            </w:r>
          </w:p>
        </w:tc>
      </w:tr>
    </w:tbl>
    <w:p>
      <w:pPr>
        <w:spacing w:after="40"/>
      </w:pPr>
    </w:p>
    <w:p>
      <w:pPr>
        <w:pStyle w:val="Heading1"/>
      </w:pPr>
      <w:r>
        <w:t>6. Accessibility (WCAG 2.2 AA) Acceptance Criteria</w:t>
      </w:r>
    </w:p>
    <w:p>
      <w:pPr>
        <w:pStyle w:val="ListBullet"/>
      </w:pPr>
      <w:r>
        <w:t>Contrast — text ≥ 4.5:1 (≥ 3:1 for large/UI); verified for every token pair.</w:t>
      </w:r>
    </w:p>
    <w:p>
      <w:pPr>
        <w:pStyle w:val="ListBullet"/>
      </w:pPr>
      <w:r>
        <w:t>Keyboard — every interaction reachable and operable by keyboard; visible focus; logical order; no traps.</w:t>
      </w:r>
    </w:p>
    <w:p>
      <w:pPr>
        <w:pStyle w:val="ListBullet"/>
      </w:pPr>
      <w:r>
        <w:t>Screen reader — semantic HTML/ARIA; labels for all inputs; live regions for toasts/clocks; landmark roles.</w:t>
      </w:r>
    </w:p>
    <w:p>
      <w:pPr>
        <w:pStyle w:val="ListBullet"/>
      </w:pPr>
      <w:r>
        <w:t>Targets — interactive targets ≥ 24×24 px (2.5.8); spacing to avoid mis-taps.</w:t>
      </w:r>
    </w:p>
    <w:p>
      <w:pPr>
        <w:pStyle w:val="ListBullet"/>
      </w:pPr>
      <w:r>
        <w:t>Forms — errors identified in text, associated to fields, and summarised; no colour-only signalling.</w:t>
      </w:r>
    </w:p>
    <w:p>
      <w:pPr>
        <w:pStyle w:val="ListBullet"/>
      </w:pPr>
      <w:r>
        <w:t>Media — captions for hearings; transcripts; audio-only fallback.</w:t>
      </w:r>
    </w:p>
    <w:p>
      <w:pPr>
        <w:pStyle w:val="ListBullet"/>
      </w:pPr>
      <w:r>
        <w:t>Motion — respect prefers-reduced-motion; no essential info conveyed by motion alone.</w:t>
      </w:r>
    </w:p>
    <w:p>
      <w:pPr>
        <w:pStyle w:val="ListBullet"/>
      </w:pPr>
      <w:r>
        <w:t>Language — lang attributes for vernacular content; readable line length (≤ 80 chars).</w:t>
      </w:r>
    </w:p>
    <w:p>
      <w:pPr>
        <w:pStyle w:val="Heading1"/>
      </w:pPr>
      <w:r>
        <w:t>7. Iconography, Motion &amp; Imagery</w:t>
      </w:r>
    </w:p>
    <w:p>
      <w:pPr>
        <w:pStyle w:val="ListBullet"/>
      </w:pPr>
      <w:r>
        <w:rPr>
          <w:b/>
        </w:rPr>
        <w:t xml:space="preserve">Icons: </w:t>
      </w:r>
      <w:r>
        <w:t>One line-icon set (e.g., Lucide), 1.5 px stroke, 20/24 px; decorative icons aria-hidden.</w:t>
      </w:r>
    </w:p>
    <w:p>
      <w:pPr>
        <w:pStyle w:val="ListBullet"/>
      </w:pPr>
      <w:r>
        <w:rPr>
          <w:b/>
        </w:rPr>
        <w:t xml:space="preserve">Motion: </w:t>
      </w:r>
      <w:r>
        <w:t>150–250 ms ease; purposeful only (state, entry/exit); reduced-motion honoured.</w:t>
      </w:r>
    </w:p>
    <w:p>
      <w:pPr>
        <w:pStyle w:val="ListBullet"/>
      </w:pPr>
      <w:r>
        <w:rPr>
          <w:b/>
        </w:rPr>
        <w:t xml:space="preserve">Imagery: </w:t>
      </w:r>
      <w:r>
        <w:t>Human, calm, diverse; avoid courtroom-threat imagery; illustrations for empty states.</w:t>
      </w:r>
    </w:p>
    <w:p>
      <w:pPr>
        <w:pStyle w:val="Heading1"/>
      </w:pPr>
      <w:r>
        <w:t>8. Theming &amp; Handoff</w:t>
      </w:r>
    </w:p>
    <w:p>
      <w:pPr>
        <w:pStyle w:val="ListBullet"/>
      </w:pPr>
      <w:r>
        <w:t>Tokens delivered as JSON (EQR-19_Design_Tokens.json) → map to CSS variables / Tailwind theme / Figma variables.</w:t>
      </w:r>
    </w:p>
    <w:p>
      <w:pPr>
        <w:pStyle w:val="ListBullet"/>
      </w:pPr>
      <w:r>
        <w:t>Dark mode is a token swap (surfaces/ink) planned for a later phase; components must not hard-code colours.</w:t>
      </w:r>
    </w:p>
    <w:p>
      <w:pPr>
        <w:pStyle w:val="ListBullet"/>
      </w:pPr>
      <w:r>
        <w:t>Figma library mirrors this inventory; components published with the same names as code (EQR-25).</w:t>
      </w:r>
    </w:p>
    <w:p>
      <w:pPr>
        <w:pStyle w:val="ListBullet"/>
      </w:pPr>
      <w:r>
        <w:t>Storybook is the living contract; visual-regression tests gate merges (EQR-24).</w:t>
      </w:r>
    </w:p>
    <w:p>
      <w:pPr>
        <w:spacing w:after="120"/>
      </w:pPr>
      <w:r>
        <w:rPr>
          <w:b w:val="0"/>
          <w:color w:val="5A6B7B"/>
          <w:sz w:val="18"/>
        </w:rPr>
        <w:t>End of EQR-19 v1.0.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EQR-19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