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Schema-Driven Form Engine Specification</w:t>
      </w:r>
    </w:p>
    <w:p>
      <w:pPr>
        <w:spacing w:after="280"/>
      </w:pPr>
      <w:r>
        <w:rPr>
          <w:i/>
          <w:color w:val="5A6B7B"/>
          <w:sz w:val="25"/>
        </w:rPr>
        <w:t>How every Equator form is defined once as JSON and rendered everywhere — the field-type catalog, validation model, conditional logic and the pipeline that turns an EQR-12 form into a live, validated, accessible UI and a clean API payload.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Schema-Driven Form Engine Specification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Front-end Lead / Solution Architect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EQR-20_Form_Schema_Sample.json (F1 Party Registration)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EQR-12 (forms/schema) · EQR-19 (components) · EQR-25 (front-end) · EQR-18 (API)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Why a Form Engine</w:t>
      </w:r>
    </w:p>
    <w:p>
      <w:pPr>
        <w:spacing w:after="120"/>
      </w:pPr>
      <w:r>
        <w:rPr>
          <w:b w:val="0"/>
        </w:rPr>
        <w:t>Equator has 26+ forms (EQR-12) that change with rulesets and jurisdictions. Hand-coding each is slow and drifts from the schema. Instead, every form is a JSON definition that a single renderer turns into UI, and a single validator enforces on both client and server. Adding or changing a form is a configuration change authored in the Ruleset Studio (EQR-15 #1) — not a code release.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One definition, four outputs.  </w:t>
            </w:r>
            <w:r>
              <w:rPr>
                <w:color w:val="1A1A1A"/>
                <w:sz w:val="19"/>
              </w:rPr>
              <w:t>A form schema drives: (1) the rendered UI (EQR-19 components), (2) client-side validation, (3) the server-side validation and API contract (EQR-18), and (4) the mapping to database columns (EQR-12 ‘maps_to'). All four stay in lockstep because they read the same file.</w:t>
            </w:r>
          </w:p>
        </w:tc>
      </w:tr>
    </w:tbl>
    <w:p>
      <w:pPr>
        <w:spacing w:after="40"/>
      </w:pPr>
    </w:p>
    <w:p>
      <w:pPr>
        <w:pStyle w:val="Heading1"/>
      </w:pPr>
      <w:r>
        <w:t>2. Form Schema Structure</w:t>
      </w:r>
    </w:p>
    <w:p>
      <w:pPr>
        <w:spacing w:after="120"/>
      </w:pPr>
      <w:r>
        <w:rPr>
          <w:b w:val="0"/>
        </w:rPr>
        <w:t>A form schema is JSON with metadata, a list of fields (or field groups), layout, and rules. It is versioned and pinned to a case the same way rulesets are.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705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id / version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Form identifier (e.g., F1) and semantic version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title / description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Human labels (i18n keys)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fields[]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Ordered field definitions (below)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groups[]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Named, optionally repeatable groups of fields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layout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Sections, columns, steps (wizard) for rendering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rules[]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Cross-field visibility / requirement / computation logic</w:t>
            </w:r>
          </w:p>
        </w:tc>
      </w:tr>
      <w:tr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submit</w:t>
            </w:r>
          </w:p>
        </w:tc>
        <w:tc>
          <w:tcPr>
            <w:tcW w:type="dxa" w:w="705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Target API operation (e.g., POST /cases) + method</w:t>
            </w:r>
          </w:p>
        </w:tc>
      </w:tr>
      <w:tr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mapsTo</w:t>
            </w:r>
          </w:p>
        </w:tc>
        <w:tc>
          <w:tcPr>
            <w:tcW w:type="dxa" w:w="705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Root table for persistence (EQR-12)</w:t>
            </w:r>
          </w:p>
        </w:tc>
      </w:tr>
    </w:tbl>
    <w:p>
      <w:pPr>
        <w:spacing w:after="40"/>
      </w:pPr>
    </w:p>
    <w:p>
      <w:pPr>
        <w:pStyle w:val="Heading2"/>
      </w:pPr>
      <w:r>
        <w:t>2.1 Field definition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snake_case field name — the contract with the API and DB (EQR-12)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label / help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i18n keys for label and helper text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One of the field types in §3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Boolean or a rule reference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Constraints: min/max, pattern, length, custom rule id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options / optionsFrom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Static list or an enumeration id (EQR-12 §3) or an API lookup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visibleWhen / requiredWhen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Condition expressions (§4)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mapsTo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table.column destination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sensitive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If true → field-encrypted, masked, no logging (POSH/marital, IDs)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Default value or computed expression</w:t>
            </w:r>
          </w:p>
        </w:tc>
      </w:tr>
    </w:tbl>
    <w:p>
      <w:pPr>
        <w:spacing w:after="40"/>
      </w:pPr>
    </w:p>
    <w:p>
      <w:pPr>
        <w:pStyle w:val="Heading1"/>
      </w:pPr>
      <w:r>
        <w:t>3. Field-Type Catalog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Renders as (EQR-19)</w:t>
            </w:r>
          </w:p>
        </w:tc>
        <w:tc>
          <w:tcPr>
            <w:tcW w:type="dxa" w:w="417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text / textarea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TextField / TextArea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length, pattern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number / money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NumberInput / MoneyInput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min/max, currency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date / datetime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DatePicker / TimePicker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range, future/past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select / multiselect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Select / MultiSelect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optionsFrom enum/API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radio / checkbox / switch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Radio / Checkbox / Switch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booleans, single-choice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phone / email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PhoneInput / TextField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format + OTP verify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file / file[]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FileUpload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type/size limits, virus-scan, hash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group / group[]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fieldset / repeatable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nested fields; repeatable (children, members)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address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Address block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structured, pin-code lookup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consent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ConsentCheckbox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must=true; records consent (DPDP)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ref / lookup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Combobox</w:t>
            </w:r>
          </w:p>
        </w:tc>
        <w:tc>
          <w:tcPr>
            <w:tcW w:type="dxa" w:w="417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references a party/case/entity via API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hidden / computed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system-set or derived (e.g., conf_tier)</w:t>
            </w:r>
          </w:p>
        </w:tc>
      </w:tr>
    </w:tbl>
    <w:p>
      <w:pPr>
        <w:spacing w:after="40"/>
      </w:pPr>
    </w:p>
    <w:p>
      <w:pPr>
        <w:pStyle w:val="Heading1"/>
      </w:pPr>
      <w:r>
        <w:t>4. Validation &amp; Conditional Logic</w:t>
      </w:r>
    </w:p>
    <w:p>
      <w:pPr>
        <w:pStyle w:val="ListBullet"/>
      </w:pPr>
      <w:r>
        <w:rPr>
          <w:b/>
        </w:rPr>
        <w:t xml:space="preserve">Single source: </w:t>
      </w:r>
      <w:r>
        <w:t>Validation constraints live in the schema and run identically on client (instant feedback) and server (authoritative).</w:t>
      </w:r>
    </w:p>
    <w:p>
      <w:pPr>
        <w:pStyle w:val="ListBullet"/>
      </w:pPr>
      <w:r>
        <w:rPr>
          <w:b/>
        </w:rPr>
        <w:t xml:space="preserve">Rule expressions: </w:t>
      </w:r>
      <w:r>
        <w:t>visibleWhen / requiredWhen use a small, safe expression language over other field values, e.g. requiredWhen: "pillar == 'MSME'" to require MSME-registration fields.</w:t>
      </w:r>
    </w:p>
    <w:p>
      <w:pPr>
        <w:pStyle w:val="ListBullet"/>
      </w:pPr>
      <w:r>
        <w:rPr>
          <w:b/>
        </w:rPr>
        <w:t xml:space="preserve">Computed fields: </w:t>
      </w:r>
      <w:r>
        <w:t>default/compute expressions derive values (e.g., confidentiality_tier from pillar + sensitive_flags) — never collected as free input.</w:t>
      </w:r>
    </w:p>
    <w:p>
      <w:pPr>
        <w:pStyle w:val="ListBullet"/>
      </w:pPr>
      <w:r>
        <w:rPr>
          <w:b/>
        </w:rPr>
        <w:t xml:space="preserve">Cross-field: </w:t>
      </w:r>
      <w:r>
        <w:t>Rules can enforce dependencies (e.g., if children &gt; 0, require custody group).</w:t>
      </w:r>
    </w:p>
    <w:p>
      <w:pPr>
        <w:pStyle w:val="ListBullet"/>
      </w:pPr>
      <w:r>
        <w:rPr>
          <w:b/>
        </w:rPr>
        <w:t xml:space="preserve">Errors: </w:t>
      </w:r>
      <w:r>
        <w:t>Each violation returns a field-scoped, i18n message; the API returns the same shape as the Error schema (EQR-18).</w:t>
      </w:r>
    </w:p>
    <w:p>
      <w:pPr>
        <w:pStyle w:val="Heading1"/>
      </w:pPr>
      <w:r>
        <w:t>5. Rendering &amp; Submission Pipeline</w:t>
      </w:r>
    </w:p>
    <w:p>
      <w:pPr>
        <w:pStyle w:val="ListNumber"/>
      </w:pPr>
      <w:r>
        <w:t>Load: the app fetches the pinned form schema (versioned) for the pillar/track.</w:t>
      </w:r>
    </w:p>
    <w:p>
      <w:pPr>
        <w:pStyle w:val="ListNumber"/>
      </w:pPr>
      <w:r>
        <w:t>Render: the renderer maps each field type to an EQR-19 component, applies layout (sections/steps), and wires validation.</w:t>
      </w:r>
    </w:p>
    <w:p>
      <w:pPr>
        <w:pStyle w:val="ListNumber"/>
      </w:pPr>
      <w:r>
        <w:t>Interact: client validation + conditional visibility run live; sensitive fields mask input and are excluded from analytics.</w:t>
      </w:r>
    </w:p>
    <w:p>
      <w:pPr>
        <w:pStyle w:val="ListNumber"/>
      </w:pPr>
      <w:r>
        <w:t>Submit: the renderer builds the API payload keyed by field name and calls the submit operation (EQR-18).</w:t>
      </w:r>
    </w:p>
    <w:p>
      <w:pPr>
        <w:pStyle w:val="ListNumber"/>
      </w:pPr>
      <w:r>
        <w:t>Server: the same schema validates authoritatively; on success the mapsTo persists per EQR-12 and emits a domain event (EQR-21).</w:t>
      </w:r>
    </w:p>
    <w:p>
      <w:pPr>
        <w:pStyle w:val="ListNumber"/>
      </w:pPr>
      <w:r>
        <w:t>Draft: partial state autosaves (save-draft) keyed to the case/session.</w:t>
      </w:r>
    </w:p>
    <w:p>
      <w:pPr>
        <w:pStyle w:val="Heading1"/>
      </w:pPr>
      <w:r>
        <w:t>6. Governance, i18n &amp; Accessibility</w:t>
      </w:r>
    </w:p>
    <w:p>
      <w:pPr>
        <w:pStyle w:val="ListBullet"/>
      </w:pPr>
      <w:r>
        <w:t>Versioning — schemas are versioned; a case pins the schema version used at filing (reproducibility).</w:t>
      </w:r>
    </w:p>
    <w:p>
      <w:pPr>
        <w:pStyle w:val="ListBullet"/>
      </w:pPr>
      <w:r>
        <w:t>Authoring — schemas are authored/approved in the Ruleset Studio; changes go through the Change Advisory Board (EQR-00 §7).</w:t>
      </w:r>
    </w:p>
    <w:p>
      <w:pPr>
        <w:pStyle w:val="ListBullet"/>
      </w:pPr>
      <w:r>
        <w:t>i18n — all labels/help/errors are i18n keys; vernacular strings resolved at render (EQR-25).</w:t>
      </w:r>
    </w:p>
    <w:p>
      <w:pPr>
        <w:pStyle w:val="ListBullet"/>
      </w:pPr>
      <w:r>
        <w:t>Accessibility — the renderer guarantees labels, aria-describedby error links, focus management and keyboard order (EQR-19 §6).</w:t>
      </w:r>
    </w:p>
    <w:p>
      <w:pPr>
        <w:pStyle w:val="ListBullet"/>
      </w:pPr>
      <w:r>
        <w:t>Security — sensitive fields are encrypted at rest, masked in UI, and never written to logs or analytics.</w:t>
      </w:r>
    </w:p>
    <w:p>
      <w:pPr>
        <w:pStyle w:val="Heading1"/>
      </w:pPr>
      <w:r>
        <w:t>7. Worked Example (F1 Party Registration)</w:t>
      </w:r>
    </w:p>
    <w:p>
      <w:pPr>
        <w:spacing w:after="120"/>
      </w:pPr>
      <w:r>
        <w:rPr>
          <w:b w:val="0"/>
        </w:rPr>
        <w:t>The companion file EQR-20_Form_Schema_Sample.json contains a complete, runnable schema for F1 — fields, types, validation, a consent field, a computed value, and the submit target — demonstrating the full pattern for the other forms in EQR-12.</w:t>
      </w:r>
    </w:p>
    <w:p>
      <w:pPr>
        <w:spacing w:after="120"/>
      </w:pPr>
      <w:r>
        <w:rPr>
          <w:b w:val="0"/>
          <w:color w:val="5A6B7B"/>
          <w:sz w:val="18"/>
        </w:rPr>
        <w:t>End of EQR-20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