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Database DDL, Migrations &amp; Event Catalog</w:t>
      </w:r>
    </w:p>
    <w:p>
      <w:pPr>
        <w:spacing w:after="280"/>
      </w:pPr>
      <w:r>
        <w:rPr>
          <w:i/>
          <w:color w:val="5A6B7B"/>
          <w:sz w:val="25"/>
        </w:rPr>
        <w:t>The physical data layer for a developer — schema conventions, a migration strategy, runnable PostgreSQL DDL for the core tables, and the field-level catalog of domain events that drive the event-sourced core.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EQR-21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Database DDL, Migrations &amp; Event Catalog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Back-end Lead / Data Architect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EQR-21_Schema_DDL.sql (runnable PostgreSQL)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EQR-12 (data dictionary) · EQR-01 §7 · EQR-14 (classification) · EQR-18 (API)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Conventions</w:t>
      </w:r>
    </w:p>
    <w:p>
      <w:pPr>
        <w:pStyle w:val="ListBullet"/>
      </w:pPr>
      <w:r>
        <w:rPr>
          <w:b/>
        </w:rPr>
        <w:t xml:space="preserve">Primary keys: </w:t>
      </w:r>
      <w:r>
        <w:t>ULID (sortable, 26-char) stored as text/uuid; no auto-increment exposed externally.</w:t>
      </w:r>
    </w:p>
    <w:p>
      <w:pPr>
        <w:pStyle w:val="ListBullet"/>
      </w:pPr>
      <w:r>
        <w:rPr>
          <w:b/>
        </w:rPr>
        <w:t xml:space="preserve">Tenancy: </w:t>
      </w:r>
      <w:r>
        <w:t>Every tenant-scoped table carries tenant_id; row-level security policies enforce isolation.</w:t>
      </w:r>
    </w:p>
    <w:p>
      <w:pPr>
        <w:pStyle w:val="ListBullet"/>
      </w:pPr>
      <w:r>
        <w:rPr>
          <w:b/>
        </w:rPr>
        <w:t xml:space="preserve">Timestamps: </w:t>
      </w:r>
      <w:r>
        <w:t>created_at, updated_at (timestamptz, UTC) on every table; set by the app, not the client.</w:t>
      </w:r>
    </w:p>
    <w:p>
      <w:pPr>
        <w:pStyle w:val="ListBullet"/>
      </w:pPr>
      <w:r>
        <w:rPr>
          <w:b/>
        </w:rPr>
        <w:t xml:space="preserve">Soft delete: </w:t>
      </w:r>
      <w:r>
        <w:t>deleted_at nullable where retention/legal-hold applies; hard delete is prohibited by policy (EQR-14).</w:t>
      </w:r>
    </w:p>
    <w:p>
      <w:pPr>
        <w:pStyle w:val="ListBullet"/>
      </w:pPr>
      <w:r>
        <w:rPr>
          <w:b/>
        </w:rPr>
        <w:t xml:space="preserve">Encryption: </w:t>
      </w:r>
      <w:r>
        <w:t>Columns marked sensitive (IDs, POSH/marital narrative) are application-encrypted; stored as bytea/ciphertext.</w:t>
      </w:r>
    </w:p>
    <w:p>
      <w:pPr>
        <w:pStyle w:val="ListBullet"/>
      </w:pPr>
      <w:r>
        <w:rPr>
          <w:b/>
        </w:rPr>
        <w:t xml:space="preserve">Naming: </w:t>
      </w:r>
      <w:r>
        <w:t>snake_case tables/columns matching EQR-12 field names; foreign keys named &lt;ref&gt;_id.</w:t>
      </w:r>
    </w:p>
    <w:p>
      <w:pPr>
        <w:pStyle w:val="ListBullet"/>
      </w:pPr>
      <w:r>
        <w:rPr>
          <w:b/>
        </w:rPr>
        <w:t xml:space="preserve">Enumerations: </w:t>
      </w:r>
      <w:r>
        <w:t>Stored as text with CHECK constraints or reference tables; values from EQR-12 §3.</w:t>
      </w:r>
    </w:p>
    <w:p>
      <w:pPr>
        <w:pStyle w:val="ListBullet"/>
      </w:pPr>
      <w:r>
        <w:rPr>
          <w:b/>
        </w:rPr>
        <w:t xml:space="preserve">Money: </w:t>
      </w:r>
      <w:r>
        <w:t>numeric(14,2) with a currency column; never floats.</w:t>
      </w:r>
    </w:p>
    <w:p>
      <w:pPr>
        <w:pStyle w:val="Heading1"/>
      </w:pPr>
      <w:r>
        <w:t>2. Migration Strategy</w:t>
      </w:r>
    </w:p>
    <w:p>
      <w:pPr>
        <w:pStyle w:val="ListBullet"/>
      </w:pPr>
      <w:r>
        <w:t>Versioned, forward-only migrations (e.g., Flyway/Prisma/Sqitch); each migration is immutable once merged.</w:t>
      </w:r>
    </w:p>
    <w:p>
      <w:pPr>
        <w:pStyle w:val="ListBullet"/>
      </w:pPr>
      <w:r>
        <w:t>Every schema change ships with an ‘up' migration and a tested rollback plan; destructive changes are two-phase (add → backfill → switch → drop).</w:t>
      </w:r>
    </w:p>
    <w:p>
      <w:pPr>
        <w:pStyle w:val="ListBullet"/>
      </w:pPr>
      <w:r>
        <w:t>Migrations run in CI against a shadow DB and are gated by the change-advisory process (EQR-23).</w:t>
      </w:r>
    </w:p>
    <w:p>
      <w:pPr>
        <w:pStyle w:val="ListBullet"/>
      </w:pPr>
      <w:r>
        <w:t>Ruleset/enumeration changes are data migrations (configuration), separate from structural DDL.</w:t>
      </w:r>
    </w:p>
    <w:p>
      <w:pPr>
        <w:pStyle w:val="Heading1"/>
      </w:pPr>
      <w:r>
        <w:t>3. Core DDL</w:t>
      </w:r>
    </w:p>
    <w:p>
      <w:pPr>
        <w:spacing w:after="120"/>
      </w:pPr>
      <w:r>
        <w:rPr>
          <w:b w:val="0"/>
        </w:rPr>
        <w:t>The companion file EQR-21_Schema_DDL.sql contains runnable PostgreSQL DDL for the core tables below, with primary/foreign keys, CHECK constraints, indexes and row-level-security stubs. It is the starting point for the full schema in EQR-12.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6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parties, entities, kyc_records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Disputants and their verification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cases, case_parties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case aggregate and its participants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neutrals, empanelments, allocations, conflict_checks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Neutral supply &amp; appointment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proceedings, hearings, evidence_items, custody_log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proceeding and its record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service_attempts, service_certificates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Legally-defensible notice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settlements, awards, signatures, stamps, execution_bundles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Outcomes &amp; enforcement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invoices, payments, escrow_ledger, payouts, rate_cards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Money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escalation_contracts, grievances, ic_committees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Enterprise &amp; grievance</w:t>
            </w:r>
          </w:p>
        </w:tc>
      </w:tr>
      <w:tr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explorer_sessions, ai_outputs</w:t>
            </w:r>
          </w:p>
        </w:tc>
        <w:tc>
          <w:tcPr>
            <w:tcW w:type="dxa" w:w="56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Dispute Explorer &amp; AI governance</w:t>
            </w:r>
          </w:p>
        </w:tc>
      </w:tr>
      <w:tr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ruleset_versions, tenants, audit_log, domain_events</w:t>
            </w:r>
          </w:p>
        </w:tc>
        <w:tc>
          <w:tcPr>
            <w:tcW w:type="dxa" w:w="56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Config, tenancy, audit, event store</w:t>
            </w:r>
          </w:p>
        </w:tc>
      </w:tr>
    </w:tbl>
    <w:p>
      <w:pPr>
        <w:spacing w:after="40"/>
      </w:pPr>
    </w:p>
    <w:p>
      <w:pPr>
        <w:pStyle w:val="Heading1"/>
      </w:pPr>
      <w:r>
        <w:t>4. Indexing &amp; Partitioning</w:t>
      </w:r>
    </w:p>
    <w:p>
      <w:pPr>
        <w:pStyle w:val="ListBullet"/>
      </w:pPr>
      <w:r>
        <w:t>Hot lookups indexed: cases(tenant_id,status), cases(pillar), case_parties(party_id), allocations(neutral_id), payments(invoice_id).</w:t>
      </w:r>
    </w:p>
    <w:p>
      <w:pPr>
        <w:pStyle w:val="ListBullet"/>
      </w:pPr>
      <w:r>
        <w:t>Full-text/search served by a read model (OpenSearch), fed from domain_events — not by heavy DB queries.</w:t>
      </w:r>
    </w:p>
    <w:p>
      <w:pPr>
        <w:pStyle w:val="ListBullet"/>
      </w:pPr>
      <w:r>
        <w:t>High-volume append tables (audit_log, domain_events) are time-partitioned (monthly) and WORM/immutable.</w:t>
      </w:r>
    </w:p>
    <w:p>
      <w:pPr>
        <w:pStyle w:val="ListBullet"/>
      </w:pPr>
      <w:r>
        <w:t>Foreign keys indexed; composite indexes match the most common filters (case-status explorer).</w:t>
      </w:r>
    </w:p>
    <w:p>
      <w:pPr>
        <w:pStyle w:val="Heading1"/>
      </w:pPr>
      <w:r>
        <w:t>5. Event Catalog (event-sourced core)</w:t>
      </w:r>
    </w:p>
    <w:p>
      <w:pPr>
        <w:spacing w:after="120"/>
      </w:pPr>
      <w:r>
        <w:rPr>
          <w:b w:val="0"/>
        </w:rPr>
        <w:t>Every material state change emits a domain event to the event store and the bus. Events are the source of truth for read models, notifications, analytics and integrations. Envelope: event_id (ULID), type, occurred_at, tenant_id, actor, case_id, version, payload, correlation_id.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59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Emitted when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Key payload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Consumers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case.drafted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Filing started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pillar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analytics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case.filed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Filing submitted + fee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parties, mechanism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notice, finance, analytics, webhooks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case.scrutiny_cleared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Intake accepted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track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case, analytics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neutral.appointed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Allocation + acceptance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neutral_id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notice, neutral, webhooks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notice.served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Service completed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certificate_id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case, analytics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hearing.scheduled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 set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hearing_id, datetime, mode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notice, calendar, webhooks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evidence.admitted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 admits item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evidence_id, hash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audit, analytics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settlement.drafted / award.drafted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Outcome drafted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outcome_id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award.signed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Signed + stamped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award_id, timestamp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finance, execution, webhooks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settlement.paid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Escrow released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settlement_id, amount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finance, webhooks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case.closed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Matter closed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analytics, webhooks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escalation.received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Company ticket escalated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source, ticket_ref, consent_ref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case, enterprise, webhooks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explorer.completed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Explorer session finished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session_id, viability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analytics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clock.warning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Statutory clock amber/red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case_id, clock, due_at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notice, compliance cockpit</w:t>
            </w:r>
          </w:p>
        </w:tc>
      </w:tr>
    </w:tbl>
    <w:p>
      <w:pPr>
        <w:spacing w:after="40"/>
      </w:pPr>
    </w:p>
    <w:p>
      <w:pPr>
        <w:pStyle w:val="Heading2"/>
      </w:pPr>
      <w:r>
        <w:t>5.1 Delivery guarantees</w:t>
      </w:r>
    </w:p>
    <w:p>
      <w:pPr>
        <w:pStyle w:val="ListBullet"/>
      </w:pPr>
      <w:r>
        <w:t>Ordering — per-case ordering preserved via partition key = case_id.</w:t>
      </w:r>
    </w:p>
    <w:p>
      <w:pPr>
        <w:pStyle w:val="ListBullet"/>
      </w:pPr>
      <w:r>
        <w:t>Idempotency — consumers dedupe on event_id; producers are exactly-once-effect via the outbox pattern.</w:t>
      </w:r>
    </w:p>
    <w:p>
      <w:pPr>
        <w:pStyle w:val="ListBullet"/>
      </w:pPr>
      <w:r>
        <w:t>Versioning — payload schemas are versioned; consumers tolerate additive changes; breaking changes get a new event type.</w:t>
      </w:r>
    </w:p>
    <w:p>
      <w:pPr>
        <w:pStyle w:val="ListBullet"/>
      </w:pPr>
      <w:r>
        <w:t>Replay — read models are rebuildable from the event store; audit_log is independent and immutable.</w:t>
      </w:r>
    </w:p>
    <w:p>
      <w:pPr>
        <w:spacing w:after="120"/>
      </w:pPr>
      <w:r>
        <w:rPr>
          <w:b w:val="0"/>
          <w:color w:val="5A6B7B"/>
          <w:sz w:val="18"/>
        </w:rPr>
        <w:t>End of EQR-21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